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0160FE" w14:textId="7ADE0AB9" w:rsidR="007D6DBF" w:rsidRDefault="007D6DBF" w:rsidP="007D6DBF">
      <w:pPr>
        <w:pStyle w:val="Nzev"/>
        <w:spacing w:after="1680"/>
        <w:contextualSpacing w:val="0"/>
        <w:jc w:val="right"/>
        <w:rPr>
          <w:rFonts w:ascii="Arial" w:hAnsi="Arial" w:cs="Arial"/>
          <w:b/>
          <w:color w:val="auto"/>
          <w:spacing w:val="-10"/>
          <w:sz w:val="28"/>
          <w:szCs w:val="28"/>
        </w:rPr>
      </w:pPr>
    </w:p>
    <w:p w14:paraId="49F2C88A" w14:textId="77777777" w:rsidR="00E45EA3" w:rsidRPr="00E45EA3" w:rsidRDefault="00E45EA3" w:rsidP="00E45EA3"/>
    <w:p w14:paraId="02042EED" w14:textId="71A3B524" w:rsidR="00436F6E" w:rsidRDefault="00B577D1" w:rsidP="00B3234B">
      <w:pPr>
        <w:pStyle w:val="Nzev"/>
        <w:spacing w:before="1680" w:after="1680"/>
        <w:jc w:val="center"/>
        <w:rPr>
          <w:rFonts w:ascii="Calibri" w:hAnsi="Calibri"/>
          <w:b/>
          <w:spacing w:val="-10"/>
          <w:sz w:val="56"/>
          <w:szCs w:val="56"/>
        </w:rPr>
      </w:pPr>
      <w:r w:rsidRPr="009B63D7">
        <w:rPr>
          <w:rFonts w:ascii="Calibri" w:hAnsi="Calibri"/>
          <w:b/>
          <w:spacing w:val="-10"/>
          <w:sz w:val="56"/>
          <w:szCs w:val="56"/>
        </w:rPr>
        <w:t xml:space="preserve">Hodnocení vývoje systému veřejného zdravotního pojištění v roce </w:t>
      </w:r>
      <w:r w:rsidR="008773F6">
        <w:rPr>
          <w:rFonts w:ascii="Calibri" w:hAnsi="Calibri"/>
          <w:b/>
          <w:spacing w:val="-10"/>
          <w:sz w:val="56"/>
          <w:szCs w:val="56"/>
        </w:rPr>
        <w:t>202</w:t>
      </w:r>
      <w:r w:rsidR="00A36740">
        <w:rPr>
          <w:rFonts w:ascii="Calibri" w:hAnsi="Calibri"/>
          <w:b/>
          <w:spacing w:val="-10"/>
          <w:sz w:val="56"/>
          <w:szCs w:val="56"/>
        </w:rPr>
        <w:t>3</w:t>
      </w:r>
    </w:p>
    <w:p w14:paraId="7588F6F0" w14:textId="77777777" w:rsidR="00917A5F" w:rsidRDefault="00917A5F">
      <w:pPr>
        <w:spacing w:after="200" w:line="276" w:lineRule="auto"/>
      </w:pPr>
      <w:r>
        <w:br w:type="page"/>
      </w:r>
    </w:p>
    <w:sdt>
      <w:sdtPr>
        <w:rPr>
          <w:rFonts w:asciiTheme="minorHAnsi" w:eastAsiaTheme="minorHAnsi" w:hAnsiTheme="minorHAnsi" w:cstheme="minorBidi"/>
          <w:bCs w:val="0"/>
          <w:color w:val="auto"/>
          <w:spacing w:val="0"/>
          <w:sz w:val="21"/>
          <w:szCs w:val="22"/>
        </w:rPr>
        <w:id w:val="-1962419847"/>
        <w:docPartObj>
          <w:docPartGallery w:val="Table of Contents"/>
          <w:docPartUnique/>
        </w:docPartObj>
      </w:sdtPr>
      <w:sdtEndPr/>
      <w:sdtContent>
        <w:p w14:paraId="227641EA" w14:textId="77777777" w:rsidR="00436F6E" w:rsidRPr="002A3716" w:rsidRDefault="00436F6E" w:rsidP="00436F6E">
          <w:pPr>
            <w:pStyle w:val="Nadpisobsahu"/>
            <w:numPr>
              <w:ilvl w:val="0"/>
              <w:numId w:val="0"/>
            </w:numPr>
            <w:ind w:left="432" w:hanging="432"/>
            <w:rPr>
              <w:rStyle w:val="Nadpis1Char"/>
            </w:rPr>
          </w:pPr>
          <w:r w:rsidRPr="002A3716">
            <w:rPr>
              <w:rStyle w:val="Nadpis1Char"/>
            </w:rPr>
            <w:t>Obsah</w:t>
          </w:r>
        </w:p>
        <w:p w14:paraId="5EADF61C" w14:textId="0B1AD447" w:rsidR="00BB588D" w:rsidRDefault="00360ED9">
          <w:pPr>
            <w:pStyle w:val="Obsah1"/>
            <w:tabs>
              <w:tab w:val="left" w:pos="420"/>
              <w:tab w:val="right" w:leader="dot" w:pos="9628"/>
            </w:tabs>
            <w:rPr>
              <w:rFonts w:eastAsiaTheme="minorEastAsia"/>
              <w:noProof/>
              <w:kern w:val="2"/>
              <w:sz w:val="22"/>
              <w:lang w:eastAsia="cs-CZ"/>
              <w14:ligatures w14:val="standardContextual"/>
            </w:rPr>
          </w:pPr>
          <w:r>
            <w:fldChar w:fldCharType="begin"/>
          </w:r>
          <w:r w:rsidR="00436F6E">
            <w:instrText xml:space="preserve"> TOC \o "1-3" \h \z \u </w:instrText>
          </w:r>
          <w:r>
            <w:fldChar w:fldCharType="separate"/>
          </w:r>
          <w:hyperlink w:anchor="_Toc169176569" w:history="1">
            <w:r w:rsidR="00BB588D" w:rsidRPr="007E4E5B">
              <w:rPr>
                <w:rStyle w:val="Hypertextovodkaz"/>
                <w:noProof/>
              </w:rPr>
              <w:t>1</w:t>
            </w:r>
            <w:r w:rsidR="00BB588D">
              <w:rPr>
                <w:rFonts w:eastAsiaTheme="minorEastAsia"/>
                <w:noProof/>
                <w:kern w:val="2"/>
                <w:sz w:val="22"/>
                <w:lang w:eastAsia="cs-CZ"/>
                <w14:ligatures w14:val="standardContextual"/>
              </w:rPr>
              <w:tab/>
            </w:r>
            <w:r w:rsidR="00BB588D" w:rsidRPr="007E4E5B">
              <w:rPr>
                <w:rStyle w:val="Hypertextovodkaz"/>
                <w:noProof/>
              </w:rPr>
              <w:t>Manažerské shrnutí</w:t>
            </w:r>
            <w:r w:rsidR="00BB588D">
              <w:rPr>
                <w:noProof/>
                <w:webHidden/>
              </w:rPr>
              <w:tab/>
            </w:r>
            <w:r w:rsidR="00BB588D">
              <w:rPr>
                <w:noProof/>
                <w:webHidden/>
              </w:rPr>
              <w:fldChar w:fldCharType="begin"/>
            </w:r>
            <w:r w:rsidR="00BB588D">
              <w:rPr>
                <w:noProof/>
                <w:webHidden/>
              </w:rPr>
              <w:instrText xml:space="preserve"> PAGEREF _Toc169176569 \h </w:instrText>
            </w:r>
            <w:r w:rsidR="00BB588D">
              <w:rPr>
                <w:noProof/>
                <w:webHidden/>
              </w:rPr>
            </w:r>
            <w:r w:rsidR="00BB588D">
              <w:rPr>
                <w:noProof/>
                <w:webHidden/>
              </w:rPr>
              <w:fldChar w:fldCharType="separate"/>
            </w:r>
            <w:r w:rsidR="00BB588D">
              <w:rPr>
                <w:noProof/>
                <w:webHidden/>
              </w:rPr>
              <w:t>3</w:t>
            </w:r>
            <w:r w:rsidR="00BB588D">
              <w:rPr>
                <w:noProof/>
                <w:webHidden/>
              </w:rPr>
              <w:fldChar w:fldCharType="end"/>
            </w:r>
          </w:hyperlink>
        </w:p>
        <w:p w14:paraId="52C78309" w14:textId="36FEEE02" w:rsidR="00BB588D" w:rsidRDefault="00E364A2">
          <w:pPr>
            <w:pStyle w:val="Obsah1"/>
            <w:tabs>
              <w:tab w:val="left" w:pos="420"/>
              <w:tab w:val="right" w:leader="dot" w:pos="9628"/>
            </w:tabs>
            <w:rPr>
              <w:rFonts w:eastAsiaTheme="minorEastAsia"/>
              <w:noProof/>
              <w:kern w:val="2"/>
              <w:sz w:val="22"/>
              <w:lang w:eastAsia="cs-CZ"/>
              <w14:ligatures w14:val="standardContextual"/>
            </w:rPr>
          </w:pPr>
          <w:hyperlink w:anchor="_Toc169176570" w:history="1">
            <w:r w:rsidR="00BB588D" w:rsidRPr="007E4E5B">
              <w:rPr>
                <w:rStyle w:val="Hypertextovodkaz"/>
                <w:noProof/>
              </w:rPr>
              <w:t>2</w:t>
            </w:r>
            <w:r w:rsidR="00BB588D">
              <w:rPr>
                <w:rFonts w:eastAsiaTheme="minorEastAsia"/>
                <w:noProof/>
                <w:kern w:val="2"/>
                <w:sz w:val="22"/>
                <w:lang w:eastAsia="cs-CZ"/>
                <w14:ligatures w14:val="standardContextual"/>
              </w:rPr>
              <w:tab/>
            </w:r>
            <w:r w:rsidR="00BB588D" w:rsidRPr="007E4E5B">
              <w:rPr>
                <w:rStyle w:val="Hypertextovodkaz"/>
                <w:noProof/>
              </w:rPr>
              <w:t>Úvod</w:t>
            </w:r>
            <w:r w:rsidR="00BB588D">
              <w:rPr>
                <w:noProof/>
                <w:webHidden/>
              </w:rPr>
              <w:tab/>
            </w:r>
            <w:r w:rsidR="00BB588D">
              <w:rPr>
                <w:noProof/>
                <w:webHidden/>
              </w:rPr>
              <w:fldChar w:fldCharType="begin"/>
            </w:r>
            <w:r w:rsidR="00BB588D">
              <w:rPr>
                <w:noProof/>
                <w:webHidden/>
              </w:rPr>
              <w:instrText xml:space="preserve"> PAGEREF _Toc169176570 \h </w:instrText>
            </w:r>
            <w:r w:rsidR="00BB588D">
              <w:rPr>
                <w:noProof/>
                <w:webHidden/>
              </w:rPr>
            </w:r>
            <w:r w:rsidR="00BB588D">
              <w:rPr>
                <w:noProof/>
                <w:webHidden/>
              </w:rPr>
              <w:fldChar w:fldCharType="separate"/>
            </w:r>
            <w:r w:rsidR="00BB588D">
              <w:rPr>
                <w:noProof/>
                <w:webHidden/>
              </w:rPr>
              <w:t>4</w:t>
            </w:r>
            <w:r w:rsidR="00BB588D">
              <w:rPr>
                <w:noProof/>
                <w:webHidden/>
              </w:rPr>
              <w:fldChar w:fldCharType="end"/>
            </w:r>
          </w:hyperlink>
        </w:p>
        <w:p w14:paraId="4AFADB91" w14:textId="022B8570" w:rsidR="00BB588D" w:rsidRDefault="00E364A2">
          <w:pPr>
            <w:pStyle w:val="Obsah1"/>
            <w:tabs>
              <w:tab w:val="left" w:pos="420"/>
              <w:tab w:val="right" w:leader="dot" w:pos="9628"/>
            </w:tabs>
            <w:rPr>
              <w:rFonts w:eastAsiaTheme="minorEastAsia"/>
              <w:noProof/>
              <w:kern w:val="2"/>
              <w:sz w:val="22"/>
              <w:lang w:eastAsia="cs-CZ"/>
              <w14:ligatures w14:val="standardContextual"/>
            </w:rPr>
          </w:pPr>
          <w:hyperlink w:anchor="_Toc169176571" w:history="1">
            <w:r w:rsidR="00BB588D" w:rsidRPr="007E4E5B">
              <w:rPr>
                <w:rStyle w:val="Hypertextovodkaz"/>
                <w:noProof/>
              </w:rPr>
              <w:t>3</w:t>
            </w:r>
            <w:r w:rsidR="00BB588D">
              <w:rPr>
                <w:rFonts w:eastAsiaTheme="minorEastAsia"/>
                <w:noProof/>
                <w:kern w:val="2"/>
                <w:sz w:val="22"/>
                <w:lang w:eastAsia="cs-CZ"/>
                <w14:ligatures w14:val="standardContextual"/>
              </w:rPr>
              <w:tab/>
            </w:r>
            <w:r w:rsidR="00BB588D" w:rsidRPr="007E4E5B">
              <w:rPr>
                <w:rStyle w:val="Hypertextovodkaz"/>
                <w:noProof/>
              </w:rPr>
              <w:t>Ekonomické hodnocení</w:t>
            </w:r>
            <w:r w:rsidR="00BB588D">
              <w:rPr>
                <w:noProof/>
                <w:webHidden/>
              </w:rPr>
              <w:tab/>
            </w:r>
            <w:r w:rsidR="00BB588D">
              <w:rPr>
                <w:noProof/>
                <w:webHidden/>
              </w:rPr>
              <w:fldChar w:fldCharType="begin"/>
            </w:r>
            <w:r w:rsidR="00BB588D">
              <w:rPr>
                <w:noProof/>
                <w:webHidden/>
              </w:rPr>
              <w:instrText xml:space="preserve"> PAGEREF _Toc169176571 \h </w:instrText>
            </w:r>
            <w:r w:rsidR="00BB588D">
              <w:rPr>
                <w:noProof/>
                <w:webHidden/>
              </w:rPr>
            </w:r>
            <w:r w:rsidR="00BB588D">
              <w:rPr>
                <w:noProof/>
                <w:webHidden/>
              </w:rPr>
              <w:fldChar w:fldCharType="separate"/>
            </w:r>
            <w:r w:rsidR="00BB588D">
              <w:rPr>
                <w:noProof/>
                <w:webHidden/>
              </w:rPr>
              <w:t>5</w:t>
            </w:r>
            <w:r w:rsidR="00BB588D">
              <w:rPr>
                <w:noProof/>
                <w:webHidden/>
              </w:rPr>
              <w:fldChar w:fldCharType="end"/>
            </w:r>
          </w:hyperlink>
        </w:p>
        <w:p w14:paraId="14C627B7" w14:textId="6DF82366"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72" w:history="1">
            <w:r w:rsidR="00BB588D" w:rsidRPr="007E4E5B">
              <w:rPr>
                <w:rStyle w:val="Hypertextovodkaz"/>
                <w:rFonts w:cstheme="minorHAnsi"/>
                <w:noProof/>
              </w:rPr>
              <w:t>3.1</w:t>
            </w:r>
            <w:r w:rsidR="00BB588D">
              <w:rPr>
                <w:rFonts w:eastAsiaTheme="minorEastAsia"/>
                <w:noProof/>
                <w:kern w:val="2"/>
                <w:sz w:val="22"/>
                <w:lang w:eastAsia="cs-CZ"/>
                <w14:ligatures w14:val="standardContextual"/>
              </w:rPr>
              <w:tab/>
            </w:r>
            <w:r w:rsidR="00BB588D" w:rsidRPr="007E4E5B">
              <w:rPr>
                <w:rStyle w:val="Hypertextovodkaz"/>
                <w:noProof/>
              </w:rPr>
              <w:t>Příjmy</w:t>
            </w:r>
            <w:r w:rsidR="00BB588D">
              <w:rPr>
                <w:noProof/>
                <w:webHidden/>
              </w:rPr>
              <w:tab/>
            </w:r>
            <w:r w:rsidR="00BB588D">
              <w:rPr>
                <w:noProof/>
                <w:webHidden/>
              </w:rPr>
              <w:fldChar w:fldCharType="begin"/>
            </w:r>
            <w:r w:rsidR="00BB588D">
              <w:rPr>
                <w:noProof/>
                <w:webHidden/>
              </w:rPr>
              <w:instrText xml:space="preserve"> PAGEREF _Toc169176572 \h </w:instrText>
            </w:r>
            <w:r w:rsidR="00BB588D">
              <w:rPr>
                <w:noProof/>
                <w:webHidden/>
              </w:rPr>
            </w:r>
            <w:r w:rsidR="00BB588D">
              <w:rPr>
                <w:noProof/>
                <w:webHidden/>
              </w:rPr>
              <w:fldChar w:fldCharType="separate"/>
            </w:r>
            <w:r w:rsidR="00BB588D">
              <w:rPr>
                <w:noProof/>
                <w:webHidden/>
              </w:rPr>
              <w:t>5</w:t>
            </w:r>
            <w:r w:rsidR="00BB588D">
              <w:rPr>
                <w:noProof/>
                <w:webHidden/>
              </w:rPr>
              <w:fldChar w:fldCharType="end"/>
            </w:r>
          </w:hyperlink>
        </w:p>
        <w:p w14:paraId="10EE4963" w14:textId="7CCE165B"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73" w:history="1">
            <w:r w:rsidR="00BB588D" w:rsidRPr="007E4E5B">
              <w:rPr>
                <w:rStyle w:val="Hypertextovodkaz"/>
                <w:rFonts w:cstheme="minorHAnsi"/>
                <w:noProof/>
              </w:rPr>
              <w:t>3.2</w:t>
            </w:r>
            <w:r w:rsidR="00BB588D">
              <w:rPr>
                <w:rFonts w:eastAsiaTheme="minorEastAsia"/>
                <w:noProof/>
                <w:kern w:val="2"/>
                <w:sz w:val="22"/>
                <w:lang w:eastAsia="cs-CZ"/>
                <w14:ligatures w14:val="standardContextual"/>
              </w:rPr>
              <w:tab/>
            </w:r>
            <w:r w:rsidR="00BB588D" w:rsidRPr="007E4E5B">
              <w:rPr>
                <w:rStyle w:val="Hypertextovodkaz"/>
                <w:noProof/>
              </w:rPr>
              <w:t>Výdaje</w:t>
            </w:r>
            <w:r w:rsidR="00BB588D">
              <w:rPr>
                <w:noProof/>
                <w:webHidden/>
              </w:rPr>
              <w:tab/>
            </w:r>
            <w:r w:rsidR="00BB588D">
              <w:rPr>
                <w:noProof/>
                <w:webHidden/>
              </w:rPr>
              <w:fldChar w:fldCharType="begin"/>
            </w:r>
            <w:r w:rsidR="00BB588D">
              <w:rPr>
                <w:noProof/>
                <w:webHidden/>
              </w:rPr>
              <w:instrText xml:space="preserve"> PAGEREF _Toc169176573 \h </w:instrText>
            </w:r>
            <w:r w:rsidR="00BB588D">
              <w:rPr>
                <w:noProof/>
                <w:webHidden/>
              </w:rPr>
            </w:r>
            <w:r w:rsidR="00BB588D">
              <w:rPr>
                <w:noProof/>
                <w:webHidden/>
              </w:rPr>
              <w:fldChar w:fldCharType="separate"/>
            </w:r>
            <w:r w:rsidR="00BB588D">
              <w:rPr>
                <w:noProof/>
                <w:webHidden/>
              </w:rPr>
              <w:t>8</w:t>
            </w:r>
            <w:r w:rsidR="00BB588D">
              <w:rPr>
                <w:noProof/>
                <w:webHidden/>
              </w:rPr>
              <w:fldChar w:fldCharType="end"/>
            </w:r>
          </w:hyperlink>
        </w:p>
        <w:p w14:paraId="20820D65" w14:textId="3EBB2FF0"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74" w:history="1">
            <w:r w:rsidR="00BB588D" w:rsidRPr="007E4E5B">
              <w:rPr>
                <w:rStyle w:val="Hypertextovodkaz"/>
                <w:rFonts w:cstheme="minorHAnsi"/>
                <w:noProof/>
              </w:rPr>
              <w:t>3.3</w:t>
            </w:r>
            <w:r w:rsidR="00BB588D">
              <w:rPr>
                <w:rFonts w:eastAsiaTheme="minorEastAsia"/>
                <w:noProof/>
                <w:kern w:val="2"/>
                <w:sz w:val="22"/>
                <w:lang w:eastAsia="cs-CZ"/>
                <w14:ligatures w14:val="standardContextual"/>
              </w:rPr>
              <w:tab/>
            </w:r>
            <w:r w:rsidR="00BB588D" w:rsidRPr="007E4E5B">
              <w:rPr>
                <w:rStyle w:val="Hypertextovodkaz"/>
                <w:noProof/>
              </w:rPr>
              <w:t>Saldo</w:t>
            </w:r>
            <w:r w:rsidR="00BB588D">
              <w:rPr>
                <w:noProof/>
                <w:webHidden/>
              </w:rPr>
              <w:tab/>
            </w:r>
            <w:r w:rsidR="00BB588D">
              <w:rPr>
                <w:noProof/>
                <w:webHidden/>
              </w:rPr>
              <w:fldChar w:fldCharType="begin"/>
            </w:r>
            <w:r w:rsidR="00BB588D">
              <w:rPr>
                <w:noProof/>
                <w:webHidden/>
              </w:rPr>
              <w:instrText xml:space="preserve"> PAGEREF _Toc169176574 \h </w:instrText>
            </w:r>
            <w:r w:rsidR="00BB588D">
              <w:rPr>
                <w:noProof/>
                <w:webHidden/>
              </w:rPr>
            </w:r>
            <w:r w:rsidR="00BB588D">
              <w:rPr>
                <w:noProof/>
                <w:webHidden/>
              </w:rPr>
              <w:fldChar w:fldCharType="separate"/>
            </w:r>
            <w:r w:rsidR="00BB588D">
              <w:rPr>
                <w:noProof/>
                <w:webHidden/>
              </w:rPr>
              <w:t>11</w:t>
            </w:r>
            <w:r w:rsidR="00BB588D">
              <w:rPr>
                <w:noProof/>
                <w:webHidden/>
              </w:rPr>
              <w:fldChar w:fldCharType="end"/>
            </w:r>
          </w:hyperlink>
        </w:p>
        <w:p w14:paraId="38489889" w14:textId="022CDD4F"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75" w:history="1">
            <w:r w:rsidR="00BB588D" w:rsidRPr="007E4E5B">
              <w:rPr>
                <w:rStyle w:val="Hypertextovodkaz"/>
                <w:rFonts w:cstheme="minorHAnsi"/>
                <w:noProof/>
              </w:rPr>
              <w:t>3.4</w:t>
            </w:r>
            <w:r w:rsidR="00BB588D">
              <w:rPr>
                <w:rFonts w:eastAsiaTheme="minorEastAsia"/>
                <w:noProof/>
                <w:kern w:val="2"/>
                <w:sz w:val="22"/>
                <w:lang w:eastAsia="cs-CZ"/>
                <w14:ligatures w14:val="standardContextual"/>
              </w:rPr>
              <w:tab/>
            </w:r>
            <w:r w:rsidR="00BB588D" w:rsidRPr="007E4E5B">
              <w:rPr>
                <w:rStyle w:val="Hypertextovodkaz"/>
                <w:noProof/>
              </w:rPr>
              <w:t>Pohledávky a závazky</w:t>
            </w:r>
            <w:r w:rsidR="00BB588D">
              <w:rPr>
                <w:noProof/>
                <w:webHidden/>
              </w:rPr>
              <w:tab/>
            </w:r>
            <w:r w:rsidR="00BB588D">
              <w:rPr>
                <w:noProof/>
                <w:webHidden/>
              </w:rPr>
              <w:fldChar w:fldCharType="begin"/>
            </w:r>
            <w:r w:rsidR="00BB588D">
              <w:rPr>
                <w:noProof/>
                <w:webHidden/>
              </w:rPr>
              <w:instrText xml:space="preserve"> PAGEREF _Toc169176575 \h </w:instrText>
            </w:r>
            <w:r w:rsidR="00BB588D">
              <w:rPr>
                <w:noProof/>
                <w:webHidden/>
              </w:rPr>
            </w:r>
            <w:r w:rsidR="00BB588D">
              <w:rPr>
                <w:noProof/>
                <w:webHidden/>
              </w:rPr>
              <w:fldChar w:fldCharType="separate"/>
            </w:r>
            <w:r w:rsidR="00BB588D">
              <w:rPr>
                <w:noProof/>
                <w:webHidden/>
              </w:rPr>
              <w:t>12</w:t>
            </w:r>
            <w:r w:rsidR="00BB588D">
              <w:rPr>
                <w:noProof/>
                <w:webHidden/>
              </w:rPr>
              <w:fldChar w:fldCharType="end"/>
            </w:r>
          </w:hyperlink>
        </w:p>
        <w:p w14:paraId="54108620" w14:textId="2FE6E1DC"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76" w:history="1">
            <w:r w:rsidR="00BB588D" w:rsidRPr="007E4E5B">
              <w:rPr>
                <w:rStyle w:val="Hypertextovodkaz"/>
                <w:rFonts w:cstheme="minorHAnsi"/>
                <w:noProof/>
              </w:rPr>
              <w:t>3.5</w:t>
            </w:r>
            <w:r w:rsidR="00BB588D">
              <w:rPr>
                <w:rFonts w:eastAsiaTheme="minorEastAsia"/>
                <w:noProof/>
                <w:kern w:val="2"/>
                <w:sz w:val="22"/>
                <w:lang w:eastAsia="cs-CZ"/>
                <w14:ligatures w14:val="standardContextual"/>
              </w:rPr>
              <w:tab/>
            </w:r>
            <w:r w:rsidR="00BB588D" w:rsidRPr="007E4E5B">
              <w:rPr>
                <w:rStyle w:val="Hypertextovodkaz"/>
                <w:noProof/>
              </w:rPr>
              <w:t>Stavy peněžních prostředků zdravotních pojišťoven na BÚ</w:t>
            </w:r>
            <w:r w:rsidR="00BB588D">
              <w:rPr>
                <w:noProof/>
                <w:webHidden/>
              </w:rPr>
              <w:tab/>
            </w:r>
            <w:r w:rsidR="00BB588D">
              <w:rPr>
                <w:noProof/>
                <w:webHidden/>
              </w:rPr>
              <w:fldChar w:fldCharType="begin"/>
            </w:r>
            <w:r w:rsidR="00BB588D">
              <w:rPr>
                <w:noProof/>
                <w:webHidden/>
              </w:rPr>
              <w:instrText xml:space="preserve"> PAGEREF _Toc169176576 \h </w:instrText>
            </w:r>
            <w:r w:rsidR="00BB588D">
              <w:rPr>
                <w:noProof/>
                <w:webHidden/>
              </w:rPr>
            </w:r>
            <w:r w:rsidR="00BB588D">
              <w:rPr>
                <w:noProof/>
                <w:webHidden/>
              </w:rPr>
              <w:fldChar w:fldCharType="separate"/>
            </w:r>
            <w:r w:rsidR="00BB588D">
              <w:rPr>
                <w:noProof/>
                <w:webHidden/>
              </w:rPr>
              <w:t>14</w:t>
            </w:r>
            <w:r w:rsidR="00BB588D">
              <w:rPr>
                <w:noProof/>
                <w:webHidden/>
              </w:rPr>
              <w:fldChar w:fldCharType="end"/>
            </w:r>
          </w:hyperlink>
        </w:p>
        <w:p w14:paraId="18F668F9" w14:textId="4E4CF25B"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77" w:history="1">
            <w:r w:rsidR="00BB588D" w:rsidRPr="007E4E5B">
              <w:rPr>
                <w:rStyle w:val="Hypertextovodkaz"/>
                <w:rFonts w:cstheme="minorHAnsi"/>
                <w:noProof/>
              </w:rPr>
              <w:t>3.6</w:t>
            </w:r>
            <w:r w:rsidR="00BB588D">
              <w:rPr>
                <w:rFonts w:eastAsiaTheme="minorEastAsia"/>
                <w:noProof/>
                <w:kern w:val="2"/>
                <w:sz w:val="22"/>
                <w:lang w:eastAsia="cs-CZ"/>
                <w14:ligatures w14:val="standardContextual"/>
              </w:rPr>
              <w:tab/>
            </w:r>
            <w:r w:rsidR="00BB588D" w:rsidRPr="007E4E5B">
              <w:rPr>
                <w:rStyle w:val="Hypertextovodkaz"/>
                <w:noProof/>
              </w:rPr>
              <w:t>Pojištěnci systému v. z. p.</w:t>
            </w:r>
            <w:r w:rsidR="00BB588D">
              <w:rPr>
                <w:noProof/>
                <w:webHidden/>
              </w:rPr>
              <w:tab/>
            </w:r>
            <w:r w:rsidR="00BB588D">
              <w:rPr>
                <w:noProof/>
                <w:webHidden/>
              </w:rPr>
              <w:fldChar w:fldCharType="begin"/>
            </w:r>
            <w:r w:rsidR="00BB588D">
              <w:rPr>
                <w:noProof/>
                <w:webHidden/>
              </w:rPr>
              <w:instrText xml:space="preserve"> PAGEREF _Toc169176577 \h </w:instrText>
            </w:r>
            <w:r w:rsidR="00BB588D">
              <w:rPr>
                <w:noProof/>
                <w:webHidden/>
              </w:rPr>
            </w:r>
            <w:r w:rsidR="00BB588D">
              <w:rPr>
                <w:noProof/>
                <w:webHidden/>
              </w:rPr>
              <w:fldChar w:fldCharType="separate"/>
            </w:r>
            <w:r w:rsidR="00BB588D">
              <w:rPr>
                <w:noProof/>
                <w:webHidden/>
              </w:rPr>
              <w:t>16</w:t>
            </w:r>
            <w:r w:rsidR="00BB588D">
              <w:rPr>
                <w:noProof/>
                <w:webHidden/>
              </w:rPr>
              <w:fldChar w:fldCharType="end"/>
            </w:r>
          </w:hyperlink>
        </w:p>
        <w:p w14:paraId="4025C8C9" w14:textId="0DF1DD5D"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78" w:history="1">
            <w:r w:rsidR="00BB588D" w:rsidRPr="007E4E5B">
              <w:rPr>
                <w:rStyle w:val="Hypertextovodkaz"/>
                <w:rFonts w:cstheme="minorHAnsi"/>
                <w:noProof/>
              </w:rPr>
              <w:t>3.7</w:t>
            </w:r>
            <w:r w:rsidR="00BB588D">
              <w:rPr>
                <w:rFonts w:eastAsiaTheme="minorEastAsia"/>
                <w:noProof/>
                <w:kern w:val="2"/>
                <w:sz w:val="22"/>
                <w:lang w:eastAsia="cs-CZ"/>
                <w14:ligatures w14:val="standardContextual"/>
              </w:rPr>
              <w:tab/>
            </w:r>
            <w:r w:rsidR="00BB588D" w:rsidRPr="007E4E5B">
              <w:rPr>
                <w:rStyle w:val="Hypertextovodkaz"/>
                <w:noProof/>
              </w:rPr>
              <w:t>Hospodaření ZZP v likvidaci a v konkurzu</w:t>
            </w:r>
            <w:r w:rsidR="00BB588D">
              <w:rPr>
                <w:noProof/>
                <w:webHidden/>
              </w:rPr>
              <w:tab/>
            </w:r>
            <w:r w:rsidR="00BB588D">
              <w:rPr>
                <w:noProof/>
                <w:webHidden/>
              </w:rPr>
              <w:fldChar w:fldCharType="begin"/>
            </w:r>
            <w:r w:rsidR="00BB588D">
              <w:rPr>
                <w:noProof/>
                <w:webHidden/>
              </w:rPr>
              <w:instrText xml:space="preserve"> PAGEREF _Toc169176578 \h </w:instrText>
            </w:r>
            <w:r w:rsidR="00BB588D">
              <w:rPr>
                <w:noProof/>
                <w:webHidden/>
              </w:rPr>
            </w:r>
            <w:r w:rsidR="00BB588D">
              <w:rPr>
                <w:noProof/>
                <w:webHidden/>
              </w:rPr>
              <w:fldChar w:fldCharType="separate"/>
            </w:r>
            <w:r w:rsidR="00BB588D">
              <w:rPr>
                <w:noProof/>
                <w:webHidden/>
              </w:rPr>
              <w:t>17</w:t>
            </w:r>
            <w:r w:rsidR="00BB588D">
              <w:rPr>
                <w:noProof/>
                <w:webHidden/>
              </w:rPr>
              <w:fldChar w:fldCharType="end"/>
            </w:r>
          </w:hyperlink>
        </w:p>
        <w:p w14:paraId="0494A6EF" w14:textId="1E5E8EF7" w:rsidR="00BB588D" w:rsidRDefault="00E364A2">
          <w:pPr>
            <w:pStyle w:val="Obsah1"/>
            <w:tabs>
              <w:tab w:val="left" w:pos="420"/>
              <w:tab w:val="right" w:leader="dot" w:pos="9628"/>
            </w:tabs>
            <w:rPr>
              <w:rFonts w:eastAsiaTheme="minorEastAsia"/>
              <w:noProof/>
              <w:kern w:val="2"/>
              <w:sz w:val="22"/>
              <w:lang w:eastAsia="cs-CZ"/>
              <w14:ligatures w14:val="standardContextual"/>
            </w:rPr>
          </w:pPr>
          <w:hyperlink w:anchor="_Toc169176579" w:history="1">
            <w:r w:rsidR="00BB588D" w:rsidRPr="007E4E5B">
              <w:rPr>
                <w:rStyle w:val="Hypertextovodkaz"/>
                <w:noProof/>
              </w:rPr>
              <w:t>4</w:t>
            </w:r>
            <w:r w:rsidR="00BB588D">
              <w:rPr>
                <w:rFonts w:eastAsiaTheme="minorEastAsia"/>
                <w:noProof/>
                <w:kern w:val="2"/>
                <w:sz w:val="22"/>
                <w:lang w:eastAsia="cs-CZ"/>
                <w14:ligatures w14:val="standardContextual"/>
              </w:rPr>
              <w:tab/>
            </w:r>
            <w:r w:rsidR="00BB588D" w:rsidRPr="007E4E5B">
              <w:rPr>
                <w:rStyle w:val="Hypertextovodkaz"/>
                <w:noProof/>
              </w:rPr>
              <w:t>Zdravotní hodnocení</w:t>
            </w:r>
            <w:r w:rsidR="00BB588D">
              <w:rPr>
                <w:noProof/>
                <w:webHidden/>
              </w:rPr>
              <w:tab/>
            </w:r>
            <w:r w:rsidR="00BB588D">
              <w:rPr>
                <w:noProof/>
                <w:webHidden/>
              </w:rPr>
              <w:fldChar w:fldCharType="begin"/>
            </w:r>
            <w:r w:rsidR="00BB588D">
              <w:rPr>
                <w:noProof/>
                <w:webHidden/>
              </w:rPr>
              <w:instrText xml:space="preserve"> PAGEREF _Toc169176579 \h </w:instrText>
            </w:r>
            <w:r w:rsidR="00BB588D">
              <w:rPr>
                <w:noProof/>
                <w:webHidden/>
              </w:rPr>
            </w:r>
            <w:r w:rsidR="00BB588D">
              <w:rPr>
                <w:noProof/>
                <w:webHidden/>
              </w:rPr>
              <w:fldChar w:fldCharType="separate"/>
            </w:r>
            <w:r w:rsidR="00BB588D">
              <w:rPr>
                <w:noProof/>
                <w:webHidden/>
              </w:rPr>
              <w:t>19</w:t>
            </w:r>
            <w:r w:rsidR="00BB588D">
              <w:rPr>
                <w:noProof/>
                <w:webHidden/>
              </w:rPr>
              <w:fldChar w:fldCharType="end"/>
            </w:r>
          </w:hyperlink>
        </w:p>
        <w:p w14:paraId="55D4BF1E" w14:textId="18422BDF"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80" w:history="1">
            <w:r w:rsidR="00BB588D" w:rsidRPr="007E4E5B">
              <w:rPr>
                <w:rStyle w:val="Hypertextovodkaz"/>
                <w:rFonts w:cstheme="minorHAnsi"/>
                <w:noProof/>
              </w:rPr>
              <w:t>4.1</w:t>
            </w:r>
            <w:r w:rsidR="00BB588D">
              <w:rPr>
                <w:rFonts w:eastAsiaTheme="minorEastAsia"/>
                <w:noProof/>
                <w:kern w:val="2"/>
                <w:sz w:val="22"/>
                <w:lang w:eastAsia="cs-CZ"/>
                <w14:ligatures w14:val="standardContextual"/>
              </w:rPr>
              <w:tab/>
            </w:r>
            <w:r w:rsidR="00BB588D" w:rsidRPr="007E4E5B">
              <w:rPr>
                <w:rStyle w:val="Hypertextovodkaz"/>
                <w:noProof/>
              </w:rPr>
              <w:t>Náklady na zdravotní služby</w:t>
            </w:r>
            <w:r w:rsidR="00BB588D">
              <w:rPr>
                <w:noProof/>
                <w:webHidden/>
              </w:rPr>
              <w:tab/>
            </w:r>
            <w:r w:rsidR="00BB588D">
              <w:rPr>
                <w:noProof/>
                <w:webHidden/>
              </w:rPr>
              <w:fldChar w:fldCharType="begin"/>
            </w:r>
            <w:r w:rsidR="00BB588D">
              <w:rPr>
                <w:noProof/>
                <w:webHidden/>
              </w:rPr>
              <w:instrText xml:space="preserve"> PAGEREF _Toc169176580 \h </w:instrText>
            </w:r>
            <w:r w:rsidR="00BB588D">
              <w:rPr>
                <w:noProof/>
                <w:webHidden/>
              </w:rPr>
            </w:r>
            <w:r w:rsidR="00BB588D">
              <w:rPr>
                <w:noProof/>
                <w:webHidden/>
              </w:rPr>
              <w:fldChar w:fldCharType="separate"/>
            </w:r>
            <w:r w:rsidR="00BB588D">
              <w:rPr>
                <w:noProof/>
                <w:webHidden/>
              </w:rPr>
              <w:t>19</w:t>
            </w:r>
            <w:r w:rsidR="00BB588D">
              <w:rPr>
                <w:noProof/>
                <w:webHidden/>
              </w:rPr>
              <w:fldChar w:fldCharType="end"/>
            </w:r>
          </w:hyperlink>
        </w:p>
        <w:p w14:paraId="5DB4C6C0" w14:textId="038D7EBF"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81" w:history="1">
            <w:r w:rsidR="00BB588D" w:rsidRPr="007E4E5B">
              <w:rPr>
                <w:rStyle w:val="Hypertextovodkaz"/>
                <w:rFonts w:cstheme="minorHAnsi"/>
                <w:noProof/>
              </w:rPr>
              <w:t>4.2</w:t>
            </w:r>
            <w:r w:rsidR="00BB588D">
              <w:rPr>
                <w:rFonts w:eastAsiaTheme="minorEastAsia"/>
                <w:noProof/>
                <w:kern w:val="2"/>
                <w:sz w:val="22"/>
                <w:lang w:eastAsia="cs-CZ"/>
                <w14:ligatures w14:val="standardContextual"/>
              </w:rPr>
              <w:tab/>
            </w:r>
            <w:r w:rsidR="00BB588D" w:rsidRPr="007E4E5B">
              <w:rPr>
                <w:rStyle w:val="Hypertextovodkaz"/>
                <w:noProof/>
              </w:rPr>
              <w:t>Náklady na léčení zahraničních pojištěnců</w:t>
            </w:r>
            <w:r w:rsidR="00BB588D">
              <w:rPr>
                <w:noProof/>
                <w:webHidden/>
              </w:rPr>
              <w:tab/>
            </w:r>
            <w:r w:rsidR="00BB588D">
              <w:rPr>
                <w:noProof/>
                <w:webHidden/>
              </w:rPr>
              <w:fldChar w:fldCharType="begin"/>
            </w:r>
            <w:r w:rsidR="00BB588D">
              <w:rPr>
                <w:noProof/>
                <w:webHidden/>
              </w:rPr>
              <w:instrText xml:space="preserve"> PAGEREF _Toc169176581 \h </w:instrText>
            </w:r>
            <w:r w:rsidR="00BB588D">
              <w:rPr>
                <w:noProof/>
                <w:webHidden/>
              </w:rPr>
            </w:r>
            <w:r w:rsidR="00BB588D">
              <w:rPr>
                <w:noProof/>
                <w:webHidden/>
              </w:rPr>
              <w:fldChar w:fldCharType="separate"/>
            </w:r>
            <w:r w:rsidR="00BB588D">
              <w:rPr>
                <w:noProof/>
                <w:webHidden/>
              </w:rPr>
              <w:t>25</w:t>
            </w:r>
            <w:r w:rsidR="00BB588D">
              <w:rPr>
                <w:noProof/>
                <w:webHidden/>
              </w:rPr>
              <w:fldChar w:fldCharType="end"/>
            </w:r>
          </w:hyperlink>
        </w:p>
        <w:p w14:paraId="7B39A051" w14:textId="695ABEEE"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82" w:history="1">
            <w:r w:rsidR="00BB588D" w:rsidRPr="007E4E5B">
              <w:rPr>
                <w:rStyle w:val="Hypertextovodkaz"/>
                <w:rFonts w:cstheme="minorHAnsi"/>
                <w:noProof/>
              </w:rPr>
              <w:t>4.3</w:t>
            </w:r>
            <w:r w:rsidR="00BB588D">
              <w:rPr>
                <w:rFonts w:eastAsiaTheme="minorEastAsia"/>
                <w:noProof/>
                <w:kern w:val="2"/>
                <w:sz w:val="22"/>
                <w:lang w:eastAsia="cs-CZ"/>
                <w14:ligatures w14:val="standardContextual"/>
              </w:rPr>
              <w:tab/>
            </w:r>
            <w:r w:rsidR="00BB588D" w:rsidRPr="007E4E5B">
              <w:rPr>
                <w:rStyle w:val="Hypertextovodkaz"/>
                <w:noProof/>
              </w:rPr>
              <w:t>Náklady na preventivní zdravotní péči a jiné programy čerpané z fondu prevence</w:t>
            </w:r>
            <w:r w:rsidR="00BB588D">
              <w:rPr>
                <w:noProof/>
                <w:webHidden/>
              </w:rPr>
              <w:tab/>
            </w:r>
            <w:r w:rsidR="00BB588D">
              <w:rPr>
                <w:noProof/>
                <w:webHidden/>
              </w:rPr>
              <w:fldChar w:fldCharType="begin"/>
            </w:r>
            <w:r w:rsidR="00BB588D">
              <w:rPr>
                <w:noProof/>
                <w:webHidden/>
              </w:rPr>
              <w:instrText xml:space="preserve"> PAGEREF _Toc169176582 \h </w:instrText>
            </w:r>
            <w:r w:rsidR="00BB588D">
              <w:rPr>
                <w:noProof/>
                <w:webHidden/>
              </w:rPr>
            </w:r>
            <w:r w:rsidR="00BB588D">
              <w:rPr>
                <w:noProof/>
                <w:webHidden/>
              </w:rPr>
              <w:fldChar w:fldCharType="separate"/>
            </w:r>
            <w:r w:rsidR="00BB588D">
              <w:rPr>
                <w:noProof/>
                <w:webHidden/>
              </w:rPr>
              <w:t>26</w:t>
            </w:r>
            <w:r w:rsidR="00BB588D">
              <w:rPr>
                <w:noProof/>
                <w:webHidden/>
              </w:rPr>
              <w:fldChar w:fldCharType="end"/>
            </w:r>
          </w:hyperlink>
        </w:p>
        <w:p w14:paraId="6CC84B32" w14:textId="592DC908"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83" w:history="1">
            <w:r w:rsidR="00BB588D" w:rsidRPr="007E4E5B">
              <w:rPr>
                <w:rStyle w:val="Hypertextovodkaz"/>
                <w:rFonts w:cstheme="minorHAnsi"/>
                <w:noProof/>
              </w:rPr>
              <w:t>4.4</w:t>
            </w:r>
            <w:r w:rsidR="00BB588D">
              <w:rPr>
                <w:rFonts w:eastAsiaTheme="minorEastAsia"/>
                <w:noProof/>
                <w:kern w:val="2"/>
                <w:sz w:val="22"/>
                <w:lang w:eastAsia="cs-CZ"/>
                <w14:ligatures w14:val="standardContextual"/>
              </w:rPr>
              <w:tab/>
            </w:r>
            <w:r w:rsidR="00BB588D" w:rsidRPr="007E4E5B">
              <w:rPr>
                <w:rStyle w:val="Hypertextovodkaz"/>
                <w:rFonts w:cstheme="minorHAnsi"/>
                <w:noProof/>
              </w:rPr>
              <w:t>Kontroly a šetření zdravotních pojišťoven v roce 2023</w:t>
            </w:r>
            <w:r w:rsidR="00BB588D">
              <w:rPr>
                <w:noProof/>
                <w:webHidden/>
              </w:rPr>
              <w:tab/>
            </w:r>
            <w:r w:rsidR="00BB588D">
              <w:rPr>
                <w:noProof/>
                <w:webHidden/>
              </w:rPr>
              <w:fldChar w:fldCharType="begin"/>
            </w:r>
            <w:r w:rsidR="00BB588D">
              <w:rPr>
                <w:noProof/>
                <w:webHidden/>
              </w:rPr>
              <w:instrText xml:space="preserve"> PAGEREF _Toc169176583 \h </w:instrText>
            </w:r>
            <w:r w:rsidR="00BB588D">
              <w:rPr>
                <w:noProof/>
                <w:webHidden/>
              </w:rPr>
            </w:r>
            <w:r w:rsidR="00BB588D">
              <w:rPr>
                <w:noProof/>
                <w:webHidden/>
              </w:rPr>
              <w:fldChar w:fldCharType="separate"/>
            </w:r>
            <w:r w:rsidR="00BB588D">
              <w:rPr>
                <w:noProof/>
                <w:webHidden/>
              </w:rPr>
              <w:t>28</w:t>
            </w:r>
            <w:r w:rsidR="00BB588D">
              <w:rPr>
                <w:noProof/>
                <w:webHidden/>
              </w:rPr>
              <w:fldChar w:fldCharType="end"/>
            </w:r>
          </w:hyperlink>
        </w:p>
        <w:p w14:paraId="5AF99C19" w14:textId="5C31093D" w:rsidR="00BB588D" w:rsidRDefault="00E364A2">
          <w:pPr>
            <w:pStyle w:val="Obsah1"/>
            <w:tabs>
              <w:tab w:val="left" w:pos="420"/>
              <w:tab w:val="right" w:leader="dot" w:pos="9628"/>
            </w:tabs>
            <w:rPr>
              <w:rFonts w:eastAsiaTheme="minorEastAsia"/>
              <w:noProof/>
              <w:kern w:val="2"/>
              <w:sz w:val="22"/>
              <w:lang w:eastAsia="cs-CZ"/>
              <w14:ligatures w14:val="standardContextual"/>
            </w:rPr>
          </w:pPr>
          <w:hyperlink w:anchor="_Toc169176584" w:history="1">
            <w:r w:rsidR="00BB588D" w:rsidRPr="007E4E5B">
              <w:rPr>
                <w:rStyle w:val="Hypertextovodkaz"/>
                <w:noProof/>
              </w:rPr>
              <w:t>5</w:t>
            </w:r>
            <w:r w:rsidR="00BB588D">
              <w:rPr>
                <w:rFonts w:eastAsiaTheme="minorEastAsia"/>
                <w:noProof/>
                <w:kern w:val="2"/>
                <w:sz w:val="22"/>
                <w:lang w:eastAsia="cs-CZ"/>
                <w14:ligatures w14:val="standardContextual"/>
              </w:rPr>
              <w:tab/>
            </w:r>
            <w:r w:rsidR="00BB588D" w:rsidRPr="007E4E5B">
              <w:rPr>
                <w:rStyle w:val="Hypertextovodkaz"/>
                <w:noProof/>
              </w:rPr>
              <w:t>Závěr</w:t>
            </w:r>
            <w:r w:rsidR="00BB588D">
              <w:rPr>
                <w:noProof/>
                <w:webHidden/>
              </w:rPr>
              <w:tab/>
            </w:r>
            <w:r w:rsidR="00BB588D">
              <w:rPr>
                <w:noProof/>
                <w:webHidden/>
              </w:rPr>
              <w:fldChar w:fldCharType="begin"/>
            </w:r>
            <w:r w:rsidR="00BB588D">
              <w:rPr>
                <w:noProof/>
                <w:webHidden/>
              </w:rPr>
              <w:instrText xml:space="preserve"> PAGEREF _Toc169176584 \h </w:instrText>
            </w:r>
            <w:r w:rsidR="00BB588D">
              <w:rPr>
                <w:noProof/>
                <w:webHidden/>
              </w:rPr>
            </w:r>
            <w:r w:rsidR="00BB588D">
              <w:rPr>
                <w:noProof/>
                <w:webHidden/>
              </w:rPr>
              <w:fldChar w:fldCharType="separate"/>
            </w:r>
            <w:r w:rsidR="00BB588D">
              <w:rPr>
                <w:noProof/>
                <w:webHidden/>
              </w:rPr>
              <w:t>30</w:t>
            </w:r>
            <w:r w:rsidR="00BB588D">
              <w:rPr>
                <w:noProof/>
                <w:webHidden/>
              </w:rPr>
              <w:fldChar w:fldCharType="end"/>
            </w:r>
          </w:hyperlink>
        </w:p>
        <w:p w14:paraId="34E64A51" w14:textId="74C62ECA" w:rsidR="00BB588D" w:rsidRDefault="00E364A2">
          <w:pPr>
            <w:pStyle w:val="Obsah1"/>
            <w:tabs>
              <w:tab w:val="left" w:pos="420"/>
              <w:tab w:val="right" w:leader="dot" w:pos="9628"/>
            </w:tabs>
            <w:rPr>
              <w:rFonts w:eastAsiaTheme="minorEastAsia"/>
              <w:noProof/>
              <w:kern w:val="2"/>
              <w:sz w:val="22"/>
              <w:lang w:eastAsia="cs-CZ"/>
              <w14:ligatures w14:val="standardContextual"/>
            </w:rPr>
          </w:pPr>
          <w:hyperlink w:anchor="_Toc169176585" w:history="1">
            <w:r w:rsidR="00BB588D" w:rsidRPr="007E4E5B">
              <w:rPr>
                <w:rStyle w:val="Hypertextovodkaz"/>
                <w:noProof/>
              </w:rPr>
              <w:t>6</w:t>
            </w:r>
            <w:r w:rsidR="00BB588D">
              <w:rPr>
                <w:rFonts w:eastAsiaTheme="minorEastAsia"/>
                <w:noProof/>
                <w:kern w:val="2"/>
                <w:sz w:val="22"/>
                <w:lang w:eastAsia="cs-CZ"/>
                <w14:ligatures w14:val="standardContextual"/>
              </w:rPr>
              <w:tab/>
            </w:r>
            <w:r w:rsidR="00BB588D" w:rsidRPr="007E4E5B">
              <w:rPr>
                <w:rStyle w:val="Hypertextovodkaz"/>
                <w:noProof/>
              </w:rPr>
              <w:t>Legislativní rámec</w:t>
            </w:r>
            <w:r w:rsidR="00BB588D">
              <w:rPr>
                <w:noProof/>
                <w:webHidden/>
              </w:rPr>
              <w:tab/>
            </w:r>
            <w:r w:rsidR="00BB588D">
              <w:rPr>
                <w:noProof/>
                <w:webHidden/>
              </w:rPr>
              <w:fldChar w:fldCharType="begin"/>
            </w:r>
            <w:r w:rsidR="00BB588D">
              <w:rPr>
                <w:noProof/>
                <w:webHidden/>
              </w:rPr>
              <w:instrText xml:space="preserve"> PAGEREF _Toc169176585 \h </w:instrText>
            </w:r>
            <w:r w:rsidR="00BB588D">
              <w:rPr>
                <w:noProof/>
                <w:webHidden/>
              </w:rPr>
            </w:r>
            <w:r w:rsidR="00BB588D">
              <w:rPr>
                <w:noProof/>
                <w:webHidden/>
              </w:rPr>
              <w:fldChar w:fldCharType="separate"/>
            </w:r>
            <w:r w:rsidR="00BB588D">
              <w:rPr>
                <w:noProof/>
                <w:webHidden/>
              </w:rPr>
              <w:t>31</w:t>
            </w:r>
            <w:r w:rsidR="00BB588D">
              <w:rPr>
                <w:noProof/>
                <w:webHidden/>
              </w:rPr>
              <w:fldChar w:fldCharType="end"/>
            </w:r>
          </w:hyperlink>
        </w:p>
        <w:p w14:paraId="01BDDA19" w14:textId="7AA140EE"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86" w:history="1">
            <w:r w:rsidR="00BB588D" w:rsidRPr="007E4E5B">
              <w:rPr>
                <w:rStyle w:val="Hypertextovodkaz"/>
                <w:rFonts w:cstheme="minorHAnsi"/>
                <w:noProof/>
              </w:rPr>
              <w:t>6.1</w:t>
            </w:r>
            <w:r w:rsidR="00BB588D">
              <w:rPr>
                <w:rFonts w:eastAsiaTheme="minorEastAsia"/>
                <w:noProof/>
                <w:kern w:val="2"/>
                <w:sz w:val="22"/>
                <w:lang w:eastAsia="cs-CZ"/>
                <w14:ligatures w14:val="standardContextual"/>
              </w:rPr>
              <w:tab/>
            </w:r>
            <w:r w:rsidR="00BB588D" w:rsidRPr="007E4E5B">
              <w:rPr>
                <w:rStyle w:val="Hypertextovodkaz"/>
                <w:noProof/>
              </w:rPr>
              <w:t>Všeobecná zdravotní pojišťovna ČR</w:t>
            </w:r>
            <w:r w:rsidR="00BB588D">
              <w:rPr>
                <w:noProof/>
                <w:webHidden/>
              </w:rPr>
              <w:tab/>
            </w:r>
            <w:r w:rsidR="00BB588D">
              <w:rPr>
                <w:noProof/>
                <w:webHidden/>
              </w:rPr>
              <w:fldChar w:fldCharType="begin"/>
            </w:r>
            <w:r w:rsidR="00BB588D">
              <w:rPr>
                <w:noProof/>
                <w:webHidden/>
              </w:rPr>
              <w:instrText xml:space="preserve"> PAGEREF _Toc169176586 \h </w:instrText>
            </w:r>
            <w:r w:rsidR="00BB588D">
              <w:rPr>
                <w:noProof/>
                <w:webHidden/>
              </w:rPr>
            </w:r>
            <w:r w:rsidR="00BB588D">
              <w:rPr>
                <w:noProof/>
                <w:webHidden/>
              </w:rPr>
              <w:fldChar w:fldCharType="separate"/>
            </w:r>
            <w:r w:rsidR="00BB588D">
              <w:rPr>
                <w:noProof/>
                <w:webHidden/>
              </w:rPr>
              <w:t>31</w:t>
            </w:r>
            <w:r w:rsidR="00BB588D">
              <w:rPr>
                <w:noProof/>
                <w:webHidden/>
              </w:rPr>
              <w:fldChar w:fldCharType="end"/>
            </w:r>
          </w:hyperlink>
        </w:p>
        <w:p w14:paraId="6B64AE4C" w14:textId="78936C53"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87" w:history="1">
            <w:r w:rsidR="00BB588D" w:rsidRPr="007E4E5B">
              <w:rPr>
                <w:rStyle w:val="Hypertextovodkaz"/>
                <w:rFonts w:cstheme="minorHAnsi"/>
                <w:noProof/>
              </w:rPr>
              <w:t>6.2</w:t>
            </w:r>
            <w:r w:rsidR="00BB588D">
              <w:rPr>
                <w:rFonts w:eastAsiaTheme="minorEastAsia"/>
                <w:noProof/>
                <w:kern w:val="2"/>
                <w:sz w:val="22"/>
                <w:lang w:eastAsia="cs-CZ"/>
                <w14:ligatures w14:val="standardContextual"/>
              </w:rPr>
              <w:tab/>
            </w:r>
            <w:r w:rsidR="00BB588D" w:rsidRPr="007E4E5B">
              <w:rPr>
                <w:rStyle w:val="Hypertextovodkaz"/>
                <w:noProof/>
              </w:rPr>
              <w:t>Zaměstnanecké zdravotní pojišťovny</w:t>
            </w:r>
            <w:r w:rsidR="00BB588D">
              <w:rPr>
                <w:noProof/>
                <w:webHidden/>
              </w:rPr>
              <w:tab/>
            </w:r>
            <w:r w:rsidR="00BB588D">
              <w:rPr>
                <w:noProof/>
                <w:webHidden/>
              </w:rPr>
              <w:fldChar w:fldCharType="begin"/>
            </w:r>
            <w:r w:rsidR="00BB588D">
              <w:rPr>
                <w:noProof/>
                <w:webHidden/>
              </w:rPr>
              <w:instrText xml:space="preserve"> PAGEREF _Toc169176587 \h </w:instrText>
            </w:r>
            <w:r w:rsidR="00BB588D">
              <w:rPr>
                <w:noProof/>
                <w:webHidden/>
              </w:rPr>
            </w:r>
            <w:r w:rsidR="00BB588D">
              <w:rPr>
                <w:noProof/>
                <w:webHidden/>
              </w:rPr>
              <w:fldChar w:fldCharType="separate"/>
            </w:r>
            <w:r w:rsidR="00BB588D">
              <w:rPr>
                <w:noProof/>
                <w:webHidden/>
              </w:rPr>
              <w:t>32</w:t>
            </w:r>
            <w:r w:rsidR="00BB588D">
              <w:rPr>
                <w:noProof/>
                <w:webHidden/>
              </w:rPr>
              <w:fldChar w:fldCharType="end"/>
            </w:r>
          </w:hyperlink>
        </w:p>
        <w:p w14:paraId="107F82D0" w14:textId="4FAB295A" w:rsidR="00BB588D" w:rsidRDefault="00E364A2">
          <w:pPr>
            <w:pStyle w:val="Obsah1"/>
            <w:tabs>
              <w:tab w:val="left" w:pos="420"/>
              <w:tab w:val="right" w:leader="dot" w:pos="9628"/>
            </w:tabs>
            <w:rPr>
              <w:rFonts w:eastAsiaTheme="minorEastAsia"/>
              <w:noProof/>
              <w:kern w:val="2"/>
              <w:sz w:val="22"/>
              <w:lang w:eastAsia="cs-CZ"/>
              <w14:ligatures w14:val="standardContextual"/>
            </w:rPr>
          </w:pPr>
          <w:hyperlink w:anchor="_Toc169176588" w:history="1">
            <w:r w:rsidR="00BB588D" w:rsidRPr="007E4E5B">
              <w:rPr>
                <w:rStyle w:val="Hypertextovodkaz"/>
                <w:noProof/>
              </w:rPr>
              <w:t>7</w:t>
            </w:r>
            <w:r w:rsidR="00BB588D">
              <w:rPr>
                <w:rFonts w:eastAsiaTheme="minorEastAsia"/>
                <w:noProof/>
                <w:kern w:val="2"/>
                <w:sz w:val="22"/>
                <w:lang w:eastAsia="cs-CZ"/>
                <w14:ligatures w14:val="standardContextual"/>
              </w:rPr>
              <w:tab/>
            </w:r>
            <w:r w:rsidR="00BB588D" w:rsidRPr="007E4E5B">
              <w:rPr>
                <w:rStyle w:val="Hypertextovodkaz"/>
                <w:noProof/>
              </w:rPr>
              <w:t>Seznam grafů a tabulek v tomto dokumentu</w:t>
            </w:r>
            <w:r w:rsidR="00BB588D">
              <w:rPr>
                <w:noProof/>
                <w:webHidden/>
              </w:rPr>
              <w:tab/>
            </w:r>
            <w:r w:rsidR="00BB588D">
              <w:rPr>
                <w:noProof/>
                <w:webHidden/>
              </w:rPr>
              <w:fldChar w:fldCharType="begin"/>
            </w:r>
            <w:r w:rsidR="00BB588D">
              <w:rPr>
                <w:noProof/>
                <w:webHidden/>
              </w:rPr>
              <w:instrText xml:space="preserve"> PAGEREF _Toc169176588 \h </w:instrText>
            </w:r>
            <w:r w:rsidR="00BB588D">
              <w:rPr>
                <w:noProof/>
                <w:webHidden/>
              </w:rPr>
            </w:r>
            <w:r w:rsidR="00BB588D">
              <w:rPr>
                <w:noProof/>
                <w:webHidden/>
              </w:rPr>
              <w:fldChar w:fldCharType="separate"/>
            </w:r>
            <w:r w:rsidR="00BB588D">
              <w:rPr>
                <w:noProof/>
                <w:webHidden/>
              </w:rPr>
              <w:t>34</w:t>
            </w:r>
            <w:r w:rsidR="00BB588D">
              <w:rPr>
                <w:noProof/>
                <w:webHidden/>
              </w:rPr>
              <w:fldChar w:fldCharType="end"/>
            </w:r>
          </w:hyperlink>
        </w:p>
        <w:p w14:paraId="06CA3105" w14:textId="3FFFB659"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89" w:history="1">
            <w:r w:rsidR="00BB588D" w:rsidRPr="007E4E5B">
              <w:rPr>
                <w:rStyle w:val="Hypertextovodkaz"/>
                <w:rFonts w:cstheme="minorHAnsi"/>
                <w:noProof/>
              </w:rPr>
              <w:t>7.1</w:t>
            </w:r>
            <w:r w:rsidR="00BB588D">
              <w:rPr>
                <w:rFonts w:eastAsiaTheme="minorEastAsia"/>
                <w:noProof/>
                <w:kern w:val="2"/>
                <w:sz w:val="22"/>
                <w:lang w:eastAsia="cs-CZ"/>
                <w14:ligatures w14:val="standardContextual"/>
              </w:rPr>
              <w:tab/>
            </w:r>
            <w:r w:rsidR="00BB588D" w:rsidRPr="007E4E5B">
              <w:rPr>
                <w:rStyle w:val="Hypertextovodkaz"/>
                <w:noProof/>
              </w:rPr>
              <w:t>Grafy</w:t>
            </w:r>
            <w:r w:rsidR="00BB588D">
              <w:rPr>
                <w:noProof/>
                <w:webHidden/>
              </w:rPr>
              <w:tab/>
            </w:r>
            <w:r w:rsidR="00BB588D">
              <w:rPr>
                <w:noProof/>
                <w:webHidden/>
              </w:rPr>
              <w:fldChar w:fldCharType="begin"/>
            </w:r>
            <w:r w:rsidR="00BB588D">
              <w:rPr>
                <w:noProof/>
                <w:webHidden/>
              </w:rPr>
              <w:instrText xml:space="preserve"> PAGEREF _Toc169176589 \h </w:instrText>
            </w:r>
            <w:r w:rsidR="00BB588D">
              <w:rPr>
                <w:noProof/>
                <w:webHidden/>
              </w:rPr>
            </w:r>
            <w:r w:rsidR="00BB588D">
              <w:rPr>
                <w:noProof/>
                <w:webHidden/>
              </w:rPr>
              <w:fldChar w:fldCharType="separate"/>
            </w:r>
            <w:r w:rsidR="00BB588D">
              <w:rPr>
                <w:noProof/>
                <w:webHidden/>
              </w:rPr>
              <w:t>34</w:t>
            </w:r>
            <w:r w:rsidR="00BB588D">
              <w:rPr>
                <w:noProof/>
                <w:webHidden/>
              </w:rPr>
              <w:fldChar w:fldCharType="end"/>
            </w:r>
          </w:hyperlink>
        </w:p>
        <w:p w14:paraId="15C73CEC" w14:textId="72E708C9" w:rsidR="00BB588D" w:rsidRDefault="00E364A2">
          <w:pPr>
            <w:pStyle w:val="Obsah2"/>
            <w:tabs>
              <w:tab w:val="left" w:pos="880"/>
              <w:tab w:val="right" w:leader="dot" w:pos="9628"/>
            </w:tabs>
            <w:rPr>
              <w:rFonts w:eastAsiaTheme="minorEastAsia"/>
              <w:noProof/>
              <w:kern w:val="2"/>
              <w:sz w:val="22"/>
              <w:lang w:eastAsia="cs-CZ"/>
              <w14:ligatures w14:val="standardContextual"/>
            </w:rPr>
          </w:pPr>
          <w:hyperlink w:anchor="_Toc169176590" w:history="1">
            <w:r w:rsidR="00BB588D" w:rsidRPr="007E4E5B">
              <w:rPr>
                <w:rStyle w:val="Hypertextovodkaz"/>
                <w:rFonts w:cstheme="minorHAnsi"/>
                <w:noProof/>
              </w:rPr>
              <w:t>7.1</w:t>
            </w:r>
            <w:r w:rsidR="00BB588D">
              <w:rPr>
                <w:rFonts w:eastAsiaTheme="minorEastAsia"/>
                <w:noProof/>
                <w:kern w:val="2"/>
                <w:sz w:val="22"/>
                <w:lang w:eastAsia="cs-CZ"/>
                <w14:ligatures w14:val="standardContextual"/>
              </w:rPr>
              <w:tab/>
            </w:r>
            <w:r w:rsidR="00BB588D" w:rsidRPr="007E4E5B">
              <w:rPr>
                <w:rStyle w:val="Hypertextovodkaz"/>
                <w:noProof/>
              </w:rPr>
              <w:t>Tabulky</w:t>
            </w:r>
            <w:r w:rsidR="00BB588D">
              <w:rPr>
                <w:noProof/>
                <w:webHidden/>
              </w:rPr>
              <w:tab/>
            </w:r>
            <w:r w:rsidR="00BB588D">
              <w:rPr>
                <w:noProof/>
                <w:webHidden/>
              </w:rPr>
              <w:fldChar w:fldCharType="begin"/>
            </w:r>
            <w:r w:rsidR="00BB588D">
              <w:rPr>
                <w:noProof/>
                <w:webHidden/>
              </w:rPr>
              <w:instrText xml:space="preserve"> PAGEREF _Toc169176590 \h </w:instrText>
            </w:r>
            <w:r w:rsidR="00BB588D">
              <w:rPr>
                <w:noProof/>
                <w:webHidden/>
              </w:rPr>
            </w:r>
            <w:r w:rsidR="00BB588D">
              <w:rPr>
                <w:noProof/>
                <w:webHidden/>
              </w:rPr>
              <w:fldChar w:fldCharType="separate"/>
            </w:r>
            <w:r w:rsidR="00BB588D">
              <w:rPr>
                <w:noProof/>
                <w:webHidden/>
              </w:rPr>
              <w:t>34</w:t>
            </w:r>
            <w:r w:rsidR="00BB588D">
              <w:rPr>
                <w:noProof/>
                <w:webHidden/>
              </w:rPr>
              <w:fldChar w:fldCharType="end"/>
            </w:r>
          </w:hyperlink>
        </w:p>
        <w:p w14:paraId="1778F4BE" w14:textId="366E9D3E" w:rsidR="00BB588D" w:rsidRDefault="00E364A2">
          <w:pPr>
            <w:pStyle w:val="Obsah1"/>
            <w:tabs>
              <w:tab w:val="left" w:pos="420"/>
              <w:tab w:val="right" w:leader="dot" w:pos="9628"/>
            </w:tabs>
            <w:rPr>
              <w:rFonts w:eastAsiaTheme="minorEastAsia"/>
              <w:noProof/>
              <w:kern w:val="2"/>
              <w:sz w:val="22"/>
              <w:lang w:eastAsia="cs-CZ"/>
              <w14:ligatures w14:val="standardContextual"/>
            </w:rPr>
          </w:pPr>
          <w:hyperlink w:anchor="_Toc169176591" w:history="1">
            <w:r w:rsidR="00BB588D" w:rsidRPr="007E4E5B">
              <w:rPr>
                <w:rStyle w:val="Hypertextovodkaz"/>
                <w:noProof/>
              </w:rPr>
              <w:t>8</w:t>
            </w:r>
            <w:r w:rsidR="00BB588D">
              <w:rPr>
                <w:rFonts w:eastAsiaTheme="minorEastAsia"/>
                <w:noProof/>
                <w:kern w:val="2"/>
                <w:sz w:val="22"/>
                <w:lang w:eastAsia="cs-CZ"/>
                <w14:ligatures w14:val="standardContextual"/>
              </w:rPr>
              <w:tab/>
            </w:r>
            <w:r w:rsidR="00BB588D" w:rsidRPr="007E4E5B">
              <w:rPr>
                <w:rStyle w:val="Hypertextovodkaz"/>
                <w:noProof/>
              </w:rPr>
              <w:t>Tabulková příloha</w:t>
            </w:r>
            <w:r w:rsidR="00BB588D">
              <w:rPr>
                <w:noProof/>
                <w:webHidden/>
              </w:rPr>
              <w:tab/>
            </w:r>
            <w:r w:rsidR="00BB588D">
              <w:rPr>
                <w:noProof/>
                <w:webHidden/>
              </w:rPr>
              <w:fldChar w:fldCharType="begin"/>
            </w:r>
            <w:r w:rsidR="00BB588D">
              <w:rPr>
                <w:noProof/>
                <w:webHidden/>
              </w:rPr>
              <w:instrText xml:space="preserve"> PAGEREF _Toc169176591 \h </w:instrText>
            </w:r>
            <w:r w:rsidR="00BB588D">
              <w:rPr>
                <w:noProof/>
                <w:webHidden/>
              </w:rPr>
            </w:r>
            <w:r w:rsidR="00BB588D">
              <w:rPr>
                <w:noProof/>
                <w:webHidden/>
              </w:rPr>
              <w:fldChar w:fldCharType="separate"/>
            </w:r>
            <w:r w:rsidR="00BB588D">
              <w:rPr>
                <w:noProof/>
                <w:webHidden/>
              </w:rPr>
              <w:t>35</w:t>
            </w:r>
            <w:r w:rsidR="00BB588D">
              <w:rPr>
                <w:noProof/>
                <w:webHidden/>
              </w:rPr>
              <w:fldChar w:fldCharType="end"/>
            </w:r>
          </w:hyperlink>
        </w:p>
        <w:p w14:paraId="1651C9AF" w14:textId="451EB59E" w:rsidR="00BB588D" w:rsidRDefault="00E364A2">
          <w:pPr>
            <w:pStyle w:val="Obsah2"/>
            <w:tabs>
              <w:tab w:val="right" w:leader="dot" w:pos="9628"/>
            </w:tabs>
            <w:rPr>
              <w:rFonts w:eastAsiaTheme="minorEastAsia"/>
              <w:noProof/>
              <w:kern w:val="2"/>
              <w:sz w:val="22"/>
              <w:lang w:eastAsia="cs-CZ"/>
              <w14:ligatures w14:val="standardContextual"/>
            </w:rPr>
          </w:pPr>
          <w:hyperlink w:anchor="_Toc169176592" w:history="1">
            <w:r w:rsidR="00BB588D" w:rsidRPr="007E4E5B">
              <w:rPr>
                <w:rStyle w:val="Hypertextovodkaz"/>
                <w:noProof/>
              </w:rPr>
              <w:t>Přehled</w:t>
            </w:r>
            <w:r w:rsidR="00BB588D">
              <w:rPr>
                <w:noProof/>
                <w:webHidden/>
              </w:rPr>
              <w:tab/>
            </w:r>
            <w:r w:rsidR="00BB588D">
              <w:rPr>
                <w:noProof/>
                <w:webHidden/>
              </w:rPr>
              <w:fldChar w:fldCharType="begin"/>
            </w:r>
            <w:r w:rsidR="00BB588D">
              <w:rPr>
                <w:noProof/>
                <w:webHidden/>
              </w:rPr>
              <w:instrText xml:space="preserve"> PAGEREF _Toc169176592 \h </w:instrText>
            </w:r>
            <w:r w:rsidR="00BB588D">
              <w:rPr>
                <w:noProof/>
                <w:webHidden/>
              </w:rPr>
            </w:r>
            <w:r w:rsidR="00BB588D">
              <w:rPr>
                <w:noProof/>
                <w:webHidden/>
              </w:rPr>
              <w:fldChar w:fldCharType="separate"/>
            </w:r>
            <w:r w:rsidR="00BB588D">
              <w:rPr>
                <w:noProof/>
                <w:webHidden/>
              </w:rPr>
              <w:t>35</w:t>
            </w:r>
            <w:r w:rsidR="00BB588D">
              <w:rPr>
                <w:noProof/>
                <w:webHidden/>
              </w:rPr>
              <w:fldChar w:fldCharType="end"/>
            </w:r>
          </w:hyperlink>
        </w:p>
        <w:p w14:paraId="5AB2FBF0" w14:textId="5EAFD14E" w:rsidR="00BB588D" w:rsidRDefault="00E364A2">
          <w:pPr>
            <w:pStyle w:val="Obsah1"/>
            <w:tabs>
              <w:tab w:val="left" w:pos="420"/>
              <w:tab w:val="right" w:leader="dot" w:pos="9628"/>
            </w:tabs>
            <w:rPr>
              <w:rFonts w:eastAsiaTheme="minorEastAsia"/>
              <w:noProof/>
              <w:kern w:val="2"/>
              <w:sz w:val="22"/>
              <w:lang w:eastAsia="cs-CZ"/>
              <w14:ligatures w14:val="standardContextual"/>
            </w:rPr>
          </w:pPr>
          <w:hyperlink w:anchor="_Toc169176593" w:history="1">
            <w:r w:rsidR="00BB588D" w:rsidRPr="007E4E5B">
              <w:rPr>
                <w:rStyle w:val="Hypertextovodkaz"/>
                <w:noProof/>
              </w:rPr>
              <w:t>9</w:t>
            </w:r>
            <w:r w:rsidR="00BB588D">
              <w:rPr>
                <w:rFonts w:eastAsiaTheme="minorEastAsia"/>
                <w:noProof/>
                <w:kern w:val="2"/>
                <w:sz w:val="22"/>
                <w:lang w:eastAsia="cs-CZ"/>
                <w14:ligatures w14:val="standardContextual"/>
              </w:rPr>
              <w:tab/>
            </w:r>
            <w:r w:rsidR="00BB588D" w:rsidRPr="007E4E5B">
              <w:rPr>
                <w:rStyle w:val="Hypertextovodkaz"/>
                <w:noProof/>
              </w:rPr>
              <w:t>Zkratky použité v textové části materiálu a tabulkových přílohách</w:t>
            </w:r>
            <w:r w:rsidR="00BB588D">
              <w:rPr>
                <w:noProof/>
                <w:webHidden/>
              </w:rPr>
              <w:tab/>
            </w:r>
            <w:r w:rsidR="00BB588D">
              <w:rPr>
                <w:noProof/>
                <w:webHidden/>
              </w:rPr>
              <w:fldChar w:fldCharType="begin"/>
            </w:r>
            <w:r w:rsidR="00BB588D">
              <w:rPr>
                <w:noProof/>
                <w:webHidden/>
              </w:rPr>
              <w:instrText xml:space="preserve"> PAGEREF _Toc169176593 \h </w:instrText>
            </w:r>
            <w:r w:rsidR="00BB588D">
              <w:rPr>
                <w:noProof/>
                <w:webHidden/>
              </w:rPr>
            </w:r>
            <w:r w:rsidR="00BB588D">
              <w:rPr>
                <w:noProof/>
                <w:webHidden/>
              </w:rPr>
              <w:fldChar w:fldCharType="separate"/>
            </w:r>
            <w:r w:rsidR="00BB588D">
              <w:rPr>
                <w:noProof/>
                <w:webHidden/>
              </w:rPr>
              <w:t>36</w:t>
            </w:r>
            <w:r w:rsidR="00BB588D">
              <w:rPr>
                <w:noProof/>
                <w:webHidden/>
              </w:rPr>
              <w:fldChar w:fldCharType="end"/>
            </w:r>
          </w:hyperlink>
        </w:p>
        <w:p w14:paraId="1F781D53" w14:textId="3F5224E9" w:rsidR="00BB588D" w:rsidRDefault="00E364A2">
          <w:pPr>
            <w:pStyle w:val="Obsah1"/>
            <w:tabs>
              <w:tab w:val="left" w:pos="660"/>
              <w:tab w:val="right" w:leader="dot" w:pos="9628"/>
            </w:tabs>
            <w:rPr>
              <w:rFonts w:eastAsiaTheme="minorEastAsia"/>
              <w:noProof/>
              <w:kern w:val="2"/>
              <w:sz w:val="22"/>
              <w:lang w:eastAsia="cs-CZ"/>
              <w14:ligatures w14:val="standardContextual"/>
            </w:rPr>
          </w:pPr>
          <w:hyperlink w:anchor="_Toc169176594" w:history="1">
            <w:r w:rsidR="00BB588D" w:rsidRPr="007E4E5B">
              <w:rPr>
                <w:rStyle w:val="Hypertextovodkaz"/>
                <w:noProof/>
              </w:rPr>
              <w:t>10</w:t>
            </w:r>
            <w:r w:rsidR="00BB588D">
              <w:rPr>
                <w:rFonts w:eastAsiaTheme="minorEastAsia"/>
                <w:noProof/>
                <w:kern w:val="2"/>
                <w:sz w:val="22"/>
                <w:lang w:eastAsia="cs-CZ"/>
                <w14:ligatures w14:val="standardContextual"/>
              </w:rPr>
              <w:tab/>
            </w:r>
            <w:r w:rsidR="00BB588D" w:rsidRPr="007E4E5B">
              <w:rPr>
                <w:rStyle w:val="Hypertextovodkaz"/>
                <w:noProof/>
              </w:rPr>
              <w:t>Právní předpisy citované v textové části materiálu a tabulkových přílohách</w:t>
            </w:r>
            <w:r w:rsidR="00BB588D">
              <w:rPr>
                <w:noProof/>
                <w:webHidden/>
              </w:rPr>
              <w:tab/>
            </w:r>
            <w:r w:rsidR="00BB588D">
              <w:rPr>
                <w:noProof/>
                <w:webHidden/>
              </w:rPr>
              <w:fldChar w:fldCharType="begin"/>
            </w:r>
            <w:r w:rsidR="00BB588D">
              <w:rPr>
                <w:noProof/>
                <w:webHidden/>
              </w:rPr>
              <w:instrText xml:space="preserve"> PAGEREF _Toc169176594 \h </w:instrText>
            </w:r>
            <w:r w:rsidR="00BB588D">
              <w:rPr>
                <w:noProof/>
                <w:webHidden/>
              </w:rPr>
            </w:r>
            <w:r w:rsidR="00BB588D">
              <w:rPr>
                <w:noProof/>
                <w:webHidden/>
              </w:rPr>
              <w:fldChar w:fldCharType="separate"/>
            </w:r>
            <w:r w:rsidR="00BB588D">
              <w:rPr>
                <w:noProof/>
                <w:webHidden/>
              </w:rPr>
              <w:t>39</w:t>
            </w:r>
            <w:r w:rsidR="00BB588D">
              <w:rPr>
                <w:noProof/>
                <w:webHidden/>
              </w:rPr>
              <w:fldChar w:fldCharType="end"/>
            </w:r>
          </w:hyperlink>
        </w:p>
        <w:p w14:paraId="1FD06080" w14:textId="5E09CBA6" w:rsidR="005D233A" w:rsidRPr="00E45EA3" w:rsidRDefault="00360ED9" w:rsidP="00E45EA3">
          <w:pPr>
            <w:pStyle w:val="Obsah1"/>
            <w:tabs>
              <w:tab w:val="left" w:pos="660"/>
              <w:tab w:val="right" w:leader="dot" w:pos="9628"/>
            </w:tabs>
            <w:rPr>
              <w:rFonts w:eastAsiaTheme="minorEastAsia"/>
              <w:noProof/>
              <w:sz w:val="22"/>
              <w:lang w:eastAsia="cs-CZ"/>
            </w:rPr>
          </w:pPr>
          <w:r>
            <w:fldChar w:fldCharType="end"/>
          </w:r>
        </w:p>
      </w:sdtContent>
    </w:sdt>
    <w:p w14:paraId="4136FB81" w14:textId="77777777" w:rsidR="000441B9" w:rsidRDefault="000441B9" w:rsidP="00917A5F">
      <w:pPr>
        <w:jc w:val="both"/>
        <w:rPr>
          <w:b/>
        </w:rPr>
      </w:pPr>
    </w:p>
    <w:p w14:paraId="19A56E3D" w14:textId="77777777" w:rsidR="000441B9" w:rsidRDefault="000441B9" w:rsidP="00917A5F">
      <w:pPr>
        <w:jc w:val="both"/>
        <w:rPr>
          <w:b/>
        </w:rPr>
      </w:pPr>
    </w:p>
    <w:p w14:paraId="1812DC5A" w14:textId="234D4B90" w:rsidR="00917A5F" w:rsidRPr="005A357D" w:rsidRDefault="00917A5F" w:rsidP="00917A5F">
      <w:pPr>
        <w:jc w:val="both"/>
        <w:rPr>
          <w:b/>
        </w:rPr>
      </w:pPr>
      <w:r w:rsidRPr="009B63D7">
        <w:rPr>
          <w:b/>
        </w:rPr>
        <w:t xml:space="preserve">Zpracováno odbornými pracovišti Ministerstva zdravotnictví a Ministerstva financí </w:t>
      </w:r>
      <w:r w:rsidR="000441B9">
        <w:rPr>
          <w:b/>
        </w:rPr>
        <w:t xml:space="preserve">v </w:t>
      </w:r>
      <w:r w:rsidR="00FB53D1" w:rsidRPr="009B63D7">
        <w:rPr>
          <w:b/>
        </w:rPr>
        <w:t>květn</w:t>
      </w:r>
      <w:r w:rsidR="000441B9">
        <w:rPr>
          <w:b/>
        </w:rPr>
        <w:t>u</w:t>
      </w:r>
      <w:r w:rsidR="00FB53D1" w:rsidRPr="009B63D7">
        <w:rPr>
          <w:b/>
        </w:rPr>
        <w:t xml:space="preserve"> </w:t>
      </w:r>
      <w:r w:rsidRPr="009B63D7">
        <w:rPr>
          <w:b/>
        </w:rPr>
        <w:t>a </w:t>
      </w:r>
      <w:r w:rsidR="00FB53D1" w:rsidRPr="009B63D7">
        <w:rPr>
          <w:b/>
        </w:rPr>
        <w:t>červn</w:t>
      </w:r>
      <w:r w:rsidR="000441B9">
        <w:rPr>
          <w:b/>
        </w:rPr>
        <w:t>u</w:t>
      </w:r>
      <w:r w:rsidR="00FB53D1" w:rsidRPr="009B63D7">
        <w:rPr>
          <w:b/>
        </w:rPr>
        <w:t xml:space="preserve"> </w:t>
      </w:r>
      <w:r w:rsidR="008773F6">
        <w:rPr>
          <w:b/>
        </w:rPr>
        <w:t>202</w:t>
      </w:r>
      <w:r w:rsidR="008D0E78">
        <w:rPr>
          <w:b/>
        </w:rPr>
        <w:t>3</w:t>
      </w:r>
      <w:r w:rsidRPr="009B63D7">
        <w:rPr>
          <w:b/>
        </w:rPr>
        <w:t>.</w:t>
      </w:r>
      <w:r w:rsidRPr="002A3716">
        <w:rPr>
          <w:b/>
        </w:rPr>
        <w:t xml:space="preserve"> </w:t>
      </w:r>
      <w:r>
        <w:br w:type="page"/>
      </w:r>
    </w:p>
    <w:p w14:paraId="269C37F9" w14:textId="69D125FE" w:rsidR="00436F6E" w:rsidRDefault="00436F6E" w:rsidP="007327D1">
      <w:pPr>
        <w:pStyle w:val="Nadpis1"/>
      </w:pPr>
      <w:bookmarkStart w:id="0" w:name="_Toc169176569"/>
      <w:r>
        <w:lastRenderedPageBreak/>
        <w:t>Manažerské shrnutí</w:t>
      </w:r>
      <w:r w:rsidR="009816EF">
        <w:rPr>
          <w:rStyle w:val="Znakapoznpodarou"/>
        </w:rPr>
        <w:footnoteReference w:id="1"/>
      </w:r>
      <w:bookmarkEnd w:id="0"/>
    </w:p>
    <w:p w14:paraId="52BB4FB3" w14:textId="77777777" w:rsidR="00D573C8" w:rsidRPr="009B63D7" w:rsidRDefault="00D573C8" w:rsidP="00D573C8">
      <w:pPr>
        <w:jc w:val="both"/>
      </w:pPr>
      <w:r w:rsidRPr="009B63D7">
        <w:t xml:space="preserve">Předkládaný dokument je obdobou státního závěrečného účtu pro zdravotní pojišťovny. Jedná se o standardní, každoroční materiál, jehož zpracování a schvalování ukládají Ministerstvu zdravotnictví a Ministerstvu financí zákony o zdravotních pojišťovnách (viz kapitola č. 6). </w:t>
      </w:r>
    </w:p>
    <w:p w14:paraId="76ED7106" w14:textId="6B78408A" w:rsidR="00D573C8" w:rsidRPr="000E744B" w:rsidRDefault="00D573C8" w:rsidP="00D573C8">
      <w:pPr>
        <w:jc w:val="both"/>
      </w:pPr>
      <w:r>
        <w:t>K</w:t>
      </w:r>
      <w:r w:rsidRPr="009B63D7">
        <w:t>líčovou částí</w:t>
      </w:r>
      <w:r w:rsidR="005F5FDD">
        <w:t xml:space="preserve"> dokumentu</w:t>
      </w:r>
      <w:r w:rsidRPr="009B63D7">
        <w:t xml:space="preserve"> je samotné hodnocení, které je doplněno řadou tabulkových příloh (jejich přehled </w:t>
      </w:r>
      <w:r w:rsidR="000D3243">
        <w:t xml:space="preserve">je </w:t>
      </w:r>
      <w:r w:rsidRPr="009B63D7">
        <w:t>uveden v kapitole č. 8).</w:t>
      </w:r>
      <w:r w:rsidRPr="005D233A">
        <w:t xml:space="preserve"> Přiložen je i přehled použitých zkratek a citovaných legislativních předpisů. Nedílnou součástí materiálu jsou pak i </w:t>
      </w:r>
      <w:r>
        <w:t xml:space="preserve">samotné návrhy výročních zpráv </w:t>
      </w:r>
      <w:r w:rsidRPr="005D233A">
        <w:t>všech činných zdravotních pojišťoven.</w:t>
      </w:r>
    </w:p>
    <w:p w14:paraId="2EEC258D" w14:textId="77777777" w:rsidR="00FA3D6A" w:rsidRDefault="005B1A84" w:rsidP="00FA3D6A">
      <w:pPr>
        <w:tabs>
          <w:tab w:val="left" w:pos="0"/>
        </w:tabs>
        <w:jc w:val="both"/>
        <w:rPr>
          <w:rFonts w:cstheme="minorHAnsi"/>
          <w:szCs w:val="21"/>
        </w:rPr>
      </w:pPr>
      <w:r>
        <w:rPr>
          <w:rFonts w:cstheme="minorHAnsi"/>
          <w:szCs w:val="21"/>
        </w:rPr>
        <w:t xml:space="preserve">Systém veřejného zdravotního pojištění hospodařil v roce 2023 s celkovými příjmy 467,5 mld. Kč, celkovými výdaji 469,2 mld. Kč a deficitem 1,7 mld. Kč. Deficitní hospodaření se stalo trendem pro zaměstnanecké pojišťovny více let po sobě, naopak VZP ČR vykázala opět přebytek, a to ve výši necelé miliardy Kč. V roce 2023 se systém vyznačoval nadprůměrnou dynamikou jak příjmů (+8,0 %), tak především výdajů (+9,7 %).  </w:t>
      </w:r>
    </w:p>
    <w:p w14:paraId="1F09ECF4" w14:textId="48D9BA59" w:rsidR="00FA3D6A" w:rsidRDefault="00FA3D6A" w:rsidP="00FA3D6A">
      <w:pPr>
        <w:tabs>
          <w:tab w:val="left" w:pos="0"/>
        </w:tabs>
        <w:jc w:val="both"/>
        <w:rPr>
          <w:rFonts w:cstheme="minorHAnsi"/>
          <w:szCs w:val="21"/>
        </w:rPr>
      </w:pPr>
      <w:r w:rsidRPr="00345AFE">
        <w:rPr>
          <w:rFonts w:eastAsia="Times New Roman" w:cstheme="minorHAnsi"/>
          <w:b/>
          <w:szCs w:val="21"/>
        </w:rPr>
        <w:t xml:space="preserve">Celkové náklady na zdravotní služby v roce 2023 </w:t>
      </w:r>
      <w:r w:rsidRPr="00345AFE">
        <w:rPr>
          <w:rFonts w:eastAsia="Times New Roman" w:cstheme="minorHAnsi"/>
          <w:bCs/>
          <w:szCs w:val="21"/>
        </w:rPr>
        <w:t>byly</w:t>
      </w:r>
      <w:r w:rsidRPr="00345AFE">
        <w:rPr>
          <w:rFonts w:cstheme="minorHAnsi"/>
          <w:bCs/>
          <w:szCs w:val="21"/>
        </w:rPr>
        <w:t xml:space="preserve"> </w:t>
      </w:r>
      <w:r w:rsidRPr="00345AFE">
        <w:rPr>
          <w:rFonts w:cstheme="minorHAnsi"/>
          <w:szCs w:val="21"/>
        </w:rPr>
        <w:t xml:space="preserve">oproti loňskému roku vyšší o 38,049 mld. Kč. U všech zdravotních pojišťoven došlo k navýšení nákladů na zdravotní služby. Tento meziroční nárůst je ovlivněn především mechanismy úhrady stanovenými úhradovou vyhláškou a pokračující inflací. Další faktory zvyšující dlouhodobě náklady na zdravotní služby jsou především stárnutí populace a postupný nárůst vysoce nákladných zdravotních služeb, zařazování nových a finančně velmi nákladných léčiv do hrazené péče, zavádění nových vysoce inovativních léčebných postupů a navýšení nákladů u léčivých přípravků hrazených PZS poskytujícím péči na specializovaných pracovištích (centrová péče). Náklady na rok 2023 byly také ovlivňovány migrací ukrajinských občanů způsobenou </w:t>
      </w:r>
      <w:bookmarkStart w:id="1" w:name="_Hlk169719492"/>
      <w:r w:rsidRPr="00345AFE">
        <w:rPr>
          <w:rFonts w:cstheme="minorHAnsi"/>
          <w:szCs w:val="21"/>
        </w:rPr>
        <w:t>válečn</w:t>
      </w:r>
      <w:r w:rsidR="00BA1C2B">
        <w:rPr>
          <w:rFonts w:cstheme="minorHAnsi"/>
          <w:szCs w:val="21"/>
        </w:rPr>
        <w:t>ou agresí</w:t>
      </w:r>
      <w:r w:rsidRPr="00345AFE">
        <w:rPr>
          <w:rFonts w:cstheme="minorHAnsi"/>
          <w:szCs w:val="21"/>
        </w:rPr>
        <w:t xml:space="preserve"> Rusk</w:t>
      </w:r>
      <w:r w:rsidR="00BA1C2B">
        <w:rPr>
          <w:rFonts w:cstheme="minorHAnsi"/>
          <w:szCs w:val="21"/>
        </w:rPr>
        <w:t>a</w:t>
      </w:r>
      <w:bookmarkEnd w:id="1"/>
      <w:r w:rsidRPr="00345AFE">
        <w:rPr>
          <w:rFonts w:cstheme="minorHAnsi"/>
          <w:szCs w:val="21"/>
        </w:rPr>
        <w:t xml:space="preserve">. </w:t>
      </w:r>
    </w:p>
    <w:p w14:paraId="3FDDF448" w14:textId="77777777" w:rsidR="00FA3D6A" w:rsidRDefault="00FA3D6A">
      <w:pPr>
        <w:spacing w:after="200" w:line="276" w:lineRule="auto"/>
        <w:rPr>
          <w:rFonts w:cstheme="minorHAnsi"/>
          <w:szCs w:val="21"/>
        </w:rPr>
      </w:pPr>
      <w:r>
        <w:rPr>
          <w:rFonts w:cstheme="minorHAnsi"/>
          <w:szCs w:val="21"/>
        </w:rPr>
        <w:br w:type="page"/>
      </w:r>
    </w:p>
    <w:p w14:paraId="59E401D8" w14:textId="77777777" w:rsidR="00436F6E" w:rsidRDefault="00436F6E" w:rsidP="007327D1">
      <w:pPr>
        <w:pStyle w:val="Nadpis1"/>
      </w:pPr>
      <w:bookmarkStart w:id="2" w:name="_Toc169176570"/>
      <w:r>
        <w:lastRenderedPageBreak/>
        <w:t>Úvod</w:t>
      </w:r>
      <w:bookmarkEnd w:id="2"/>
    </w:p>
    <w:p w14:paraId="1A16E70D" w14:textId="4792C105" w:rsidR="00D573C8" w:rsidRDefault="00D573C8" w:rsidP="00D573C8">
      <w:pPr>
        <w:spacing w:before="180" w:line="276" w:lineRule="auto"/>
        <w:jc w:val="both"/>
      </w:pPr>
      <w:r>
        <w:t>Na základě účinných právních předpisů byly návrhy výročních zpráv (VZ) a účetní závěrky sedmi</w:t>
      </w:r>
      <w:r w:rsidR="001E2D7B">
        <w:t xml:space="preserve"> činných</w:t>
      </w:r>
      <w:r>
        <w:t xml:space="preserve"> zdravotních pojišťoven (ZP) za rok </w:t>
      </w:r>
      <w:r w:rsidR="001D2EA2">
        <w:t>202</w:t>
      </w:r>
      <w:r w:rsidR="0026667C">
        <w:t>3</w:t>
      </w:r>
      <w:r w:rsidR="001D2EA2">
        <w:t xml:space="preserve"> </w:t>
      </w:r>
      <w:r>
        <w:t xml:space="preserve">ověřeny auditory, kteří potvrdili správnost a vzájemnou vazbu těchto účetních závěrek a VZ </w:t>
      </w:r>
      <w:r w:rsidR="001D2EA2">
        <w:t>202</w:t>
      </w:r>
      <w:r w:rsidR="0026667C">
        <w:t>3</w:t>
      </w:r>
      <w:r>
        <w:t xml:space="preserve">. Návrhy VZ </w:t>
      </w:r>
      <w:r w:rsidR="001D2EA2">
        <w:t>202</w:t>
      </w:r>
      <w:r w:rsidR="0026667C">
        <w:t>3</w:t>
      </w:r>
      <w:r w:rsidR="001D2EA2">
        <w:t xml:space="preserve"> </w:t>
      </w:r>
      <w:r>
        <w:t xml:space="preserve">byly následně schváleny samosprávnými orgány ZP a doručeny v termínu do 30. 4. </w:t>
      </w:r>
      <w:r w:rsidR="001D2EA2">
        <w:t>202</w:t>
      </w:r>
      <w:r w:rsidR="0026667C">
        <w:t>4</w:t>
      </w:r>
      <w:r w:rsidR="001D2EA2">
        <w:t xml:space="preserve"> </w:t>
      </w:r>
      <w:r>
        <w:t xml:space="preserve">k posouzení na Ministerstvo zdravotnictví (MZ) a Ministerstvo financí (MF). Ve všech případech byl dodržen soulad postupů zpracování VZ </w:t>
      </w:r>
      <w:r w:rsidR="001D2EA2">
        <w:t>202</w:t>
      </w:r>
      <w:r w:rsidR="0026667C">
        <w:t>3</w:t>
      </w:r>
      <w:r w:rsidR="001D2EA2">
        <w:t xml:space="preserve"> </w:t>
      </w:r>
      <w:r>
        <w:t xml:space="preserve">s metodikou MZ. </w:t>
      </w:r>
    </w:p>
    <w:p w14:paraId="7BAA9E4F" w14:textId="77796C58" w:rsidR="00D573C8" w:rsidRDefault="00D573C8" w:rsidP="00D573C8">
      <w:pPr>
        <w:spacing w:before="180" w:line="276" w:lineRule="auto"/>
        <w:jc w:val="both"/>
      </w:pPr>
      <w:r>
        <w:t xml:space="preserve">Formálním ověřením všech dokumentů VZ </w:t>
      </w:r>
      <w:r w:rsidR="001D2EA2">
        <w:t>202</w:t>
      </w:r>
      <w:r w:rsidR="0026667C">
        <w:t>3</w:t>
      </w:r>
      <w:r w:rsidR="001D2EA2">
        <w:t xml:space="preserve"> </w:t>
      </w:r>
      <w:r>
        <w:t xml:space="preserve">nebyly zjištěny žádné zásadní nedostatky. </w:t>
      </w:r>
      <w:bookmarkStart w:id="3" w:name="_Hlk169708371"/>
      <w:r>
        <w:t xml:space="preserve">Vládě ČR jsou předkládány všechny ověřené dokumenty VZ </w:t>
      </w:r>
      <w:r w:rsidR="001D2EA2">
        <w:t>202</w:t>
      </w:r>
      <w:r w:rsidR="0026667C">
        <w:t>3</w:t>
      </w:r>
      <w:r w:rsidR="001D2EA2">
        <w:t xml:space="preserve"> </w:t>
      </w:r>
      <w:r>
        <w:t>s návrhem na jejich předložení do Poslanecké sněmovny Parlamentu ČR k ukončení schvalovacího procesu.</w:t>
      </w:r>
    </w:p>
    <w:bookmarkEnd w:id="3"/>
    <w:p w14:paraId="5B882C91" w14:textId="680BDBA7" w:rsidR="00D573C8" w:rsidRDefault="00D573C8" w:rsidP="00D573C8">
      <w:pPr>
        <w:spacing w:before="180" w:line="276" w:lineRule="auto"/>
        <w:jc w:val="both"/>
      </w:pPr>
      <w:r>
        <w:t xml:space="preserve">Souhrnné hodnocení systému veřejného zdravotního pojištění (v. z. p.) vychází z dat získaných sumarizací údajů z tabulkových příloh jednotlivých VZ </w:t>
      </w:r>
      <w:r w:rsidR="001D2EA2">
        <w:t>202</w:t>
      </w:r>
      <w:r w:rsidR="0026667C">
        <w:t>3</w:t>
      </w:r>
      <w:r w:rsidR="001D2EA2">
        <w:t xml:space="preserve"> </w:t>
      </w:r>
      <w:r>
        <w:t xml:space="preserve">a účetních závěrek za rok </w:t>
      </w:r>
      <w:r w:rsidR="001D2EA2">
        <w:t>202</w:t>
      </w:r>
      <w:r w:rsidR="0026667C">
        <w:t>3</w:t>
      </w:r>
      <w:r>
        <w:t xml:space="preserve">. </w:t>
      </w:r>
      <w:bookmarkStart w:id="4" w:name="_Hlk169708831"/>
      <w:r>
        <w:t xml:space="preserve">Zobrazuje jak údaje „cash-flow“ na principu příjmově výdajovém (hotovostní metodika), tak poskytuje informace o vývoji a stavu pohledávkových a závazkových vztahů jednotlivých fondů spravovaných ZP, nákladů na zdravotní služby celkem a podle jednotlivých segmentů zdravotních služeb i v meziročním srovnání. </w:t>
      </w:r>
    </w:p>
    <w:bookmarkEnd w:id="4"/>
    <w:p w14:paraId="5EF29A29" w14:textId="77777777" w:rsidR="00436F6E" w:rsidRDefault="00436F6E" w:rsidP="00436F6E">
      <w:pPr>
        <w:rPr>
          <w:rFonts w:eastAsia="Times New Roman" w:cs="Arial"/>
          <w:b/>
          <w:sz w:val="28"/>
          <w:szCs w:val="28"/>
          <w:lang w:eastAsia="cs-CZ"/>
        </w:rPr>
      </w:pPr>
      <w:r>
        <w:br w:type="page"/>
      </w:r>
    </w:p>
    <w:p w14:paraId="1C11026B" w14:textId="77777777" w:rsidR="00436F6E" w:rsidRPr="00EF25CF" w:rsidRDefault="00436F6E" w:rsidP="007327D1">
      <w:pPr>
        <w:pStyle w:val="Nadpis1"/>
      </w:pPr>
      <w:bookmarkStart w:id="5" w:name="_Toc169176571"/>
      <w:r w:rsidRPr="00EF25CF">
        <w:t>Ekonomické hodnocení</w:t>
      </w:r>
      <w:bookmarkEnd w:id="5"/>
    </w:p>
    <w:p w14:paraId="7BD05729" w14:textId="77777777" w:rsidR="00D573C8" w:rsidRPr="00A36740" w:rsidRDefault="00D573C8" w:rsidP="0075729F">
      <w:pPr>
        <w:spacing w:line="276" w:lineRule="auto"/>
        <w:jc w:val="both"/>
      </w:pPr>
      <w:r w:rsidRPr="00A36740">
        <w:t xml:space="preserve">Ministerstvo financí v jím zpracované části komplexně zhodnotilo hospodaření systému v. z. p. jako celku i jednotlivých zdravotních pojišťoven, a to z pohledu vývoje příjmů, výdajů, salda, pohledávek a závazků a stavů peněžních prostředků zdravotních pojišťoven na bankovních účtech. Poslední částí je pak rozbor pojištěnců systému v. z. p., hospodaření ZZP v likvidaci a dalších faktorů ovlivňujících systém veřejného zdravotního pojištění. </w:t>
      </w:r>
    </w:p>
    <w:p w14:paraId="02ACB550" w14:textId="77777777" w:rsidR="00D573C8" w:rsidRPr="00A36740" w:rsidRDefault="00D573C8" w:rsidP="007327D1">
      <w:pPr>
        <w:pStyle w:val="Nadpis2"/>
      </w:pPr>
      <w:r w:rsidRPr="00A36740">
        <w:t xml:space="preserve"> </w:t>
      </w:r>
      <w:bookmarkStart w:id="6" w:name="_Toc72151506"/>
      <w:bookmarkStart w:id="7" w:name="_Toc169176572"/>
      <w:r w:rsidRPr="00A36740">
        <w:t>Příjmy</w:t>
      </w:r>
      <w:bookmarkEnd w:id="6"/>
      <w:bookmarkEnd w:id="7"/>
    </w:p>
    <w:p w14:paraId="36B46374" w14:textId="2C40F0FA" w:rsidR="00D573C8" w:rsidRPr="002A710F" w:rsidRDefault="00D573C8" w:rsidP="00D573C8">
      <w:pPr>
        <w:spacing w:before="180" w:line="276" w:lineRule="auto"/>
        <w:jc w:val="both"/>
        <w:rPr>
          <w:bCs/>
        </w:rPr>
      </w:pPr>
      <w:r w:rsidRPr="002A710F">
        <w:rPr>
          <w:b/>
        </w:rPr>
        <w:t xml:space="preserve">Celkové příjmy systému v. z. p. </w:t>
      </w:r>
      <w:r w:rsidRPr="002A710F">
        <w:rPr>
          <w:bCs/>
          <w:i/>
          <w:iCs/>
        </w:rPr>
        <w:t>(Tabulka č. 1)</w:t>
      </w:r>
      <w:r w:rsidRPr="002A710F">
        <w:rPr>
          <w:b/>
        </w:rPr>
        <w:t xml:space="preserve"> </w:t>
      </w:r>
      <w:r w:rsidRPr="002A710F">
        <w:rPr>
          <w:bCs/>
        </w:rPr>
        <w:t xml:space="preserve">za rok </w:t>
      </w:r>
      <w:r w:rsidR="002A710F" w:rsidRPr="002A710F">
        <w:rPr>
          <w:bCs/>
        </w:rPr>
        <w:t>2023</w:t>
      </w:r>
      <w:r w:rsidR="00043D24" w:rsidRPr="002A710F">
        <w:rPr>
          <w:bCs/>
        </w:rPr>
        <w:t xml:space="preserve"> </w:t>
      </w:r>
      <w:r w:rsidRPr="002A710F">
        <w:rPr>
          <w:bCs/>
        </w:rPr>
        <w:t xml:space="preserve">činily </w:t>
      </w:r>
      <w:r w:rsidR="002A710F" w:rsidRPr="002A710F">
        <w:rPr>
          <w:bCs/>
        </w:rPr>
        <w:t>467,5</w:t>
      </w:r>
      <w:r w:rsidR="00043D24" w:rsidRPr="002A710F">
        <w:rPr>
          <w:bCs/>
        </w:rPr>
        <w:t xml:space="preserve"> </w:t>
      </w:r>
      <w:r w:rsidRPr="002A710F">
        <w:rPr>
          <w:bCs/>
        </w:rPr>
        <w:t>mld. Kč s meziročním nárůstem o </w:t>
      </w:r>
      <w:r w:rsidR="002A710F" w:rsidRPr="002A710F">
        <w:rPr>
          <w:bCs/>
        </w:rPr>
        <w:t>8,0</w:t>
      </w:r>
      <w:r w:rsidR="00436507" w:rsidRPr="002A710F">
        <w:rPr>
          <w:bCs/>
        </w:rPr>
        <w:t xml:space="preserve"> </w:t>
      </w:r>
      <w:r w:rsidRPr="002A710F">
        <w:rPr>
          <w:bCs/>
        </w:rPr>
        <w:t>% (absolutně o</w:t>
      </w:r>
      <w:r w:rsidR="00243207" w:rsidRPr="002A710F">
        <w:rPr>
          <w:bCs/>
        </w:rPr>
        <w:t xml:space="preserve"> </w:t>
      </w:r>
      <w:r w:rsidR="002A710F" w:rsidRPr="002A710F">
        <w:rPr>
          <w:bCs/>
        </w:rPr>
        <w:t>34,8</w:t>
      </w:r>
      <w:r w:rsidR="00436507" w:rsidRPr="002A710F">
        <w:rPr>
          <w:bCs/>
        </w:rPr>
        <w:t xml:space="preserve"> </w:t>
      </w:r>
      <w:r w:rsidRPr="002A710F">
        <w:rPr>
          <w:bCs/>
        </w:rPr>
        <w:t>mld. Kč). Oproti očekávání v</w:t>
      </w:r>
      <w:r w:rsidR="00B241C4">
        <w:rPr>
          <w:bCs/>
        </w:rPr>
        <w:t>e ZPP (zdravotně pojistný plán)</w:t>
      </w:r>
      <w:r w:rsidR="00436507" w:rsidRPr="002A710F">
        <w:rPr>
          <w:bCs/>
        </w:rPr>
        <w:t xml:space="preserve"> </w:t>
      </w:r>
      <w:r w:rsidRPr="002A710F">
        <w:rPr>
          <w:bCs/>
        </w:rPr>
        <w:t>pak byly vyšší o </w:t>
      </w:r>
      <w:r w:rsidR="002A710F" w:rsidRPr="002A710F">
        <w:rPr>
          <w:bCs/>
        </w:rPr>
        <w:t>0,7</w:t>
      </w:r>
      <w:r w:rsidR="00436507" w:rsidRPr="002A710F">
        <w:rPr>
          <w:bCs/>
        </w:rPr>
        <w:t xml:space="preserve"> </w:t>
      </w:r>
      <w:r w:rsidRPr="002A710F">
        <w:rPr>
          <w:bCs/>
        </w:rPr>
        <w:t>% (absolutně o</w:t>
      </w:r>
      <w:r w:rsidR="0075729F">
        <w:rPr>
          <w:bCs/>
        </w:rPr>
        <w:t> </w:t>
      </w:r>
      <w:r w:rsidR="002A710F" w:rsidRPr="002A710F">
        <w:rPr>
          <w:bCs/>
        </w:rPr>
        <w:t>3,4</w:t>
      </w:r>
      <w:r w:rsidR="00436507" w:rsidRPr="002A710F">
        <w:rPr>
          <w:bCs/>
        </w:rPr>
        <w:t xml:space="preserve"> </w:t>
      </w:r>
      <w:r w:rsidRPr="002A710F">
        <w:rPr>
          <w:bCs/>
        </w:rPr>
        <w:t xml:space="preserve">mld. Kč). </w:t>
      </w:r>
    </w:p>
    <w:p w14:paraId="7CC54E57" w14:textId="4EFC8A61" w:rsidR="00DA2669" w:rsidRPr="00B241C4" w:rsidRDefault="00D573C8" w:rsidP="00D573C8">
      <w:pPr>
        <w:spacing w:before="180" w:line="276" w:lineRule="auto"/>
        <w:jc w:val="both"/>
      </w:pPr>
      <w:r w:rsidRPr="00B241C4">
        <w:rPr>
          <w:bCs/>
        </w:rPr>
        <w:t>Z pohledu vazby mezi státním rozpočtem a systémem v.</w:t>
      </w:r>
      <w:r w:rsidR="00820889" w:rsidRPr="00B241C4">
        <w:rPr>
          <w:bCs/>
        </w:rPr>
        <w:t> </w:t>
      </w:r>
      <w:r w:rsidRPr="00B241C4">
        <w:rPr>
          <w:bCs/>
        </w:rPr>
        <w:t>z.</w:t>
      </w:r>
      <w:r w:rsidR="00820889" w:rsidRPr="00B241C4">
        <w:rPr>
          <w:bCs/>
        </w:rPr>
        <w:t> </w:t>
      </w:r>
      <w:r w:rsidRPr="00B241C4">
        <w:rPr>
          <w:bCs/>
        </w:rPr>
        <w:t>p.</w:t>
      </w:r>
      <w:r w:rsidR="00E15B18" w:rsidRPr="00B241C4">
        <w:rPr>
          <w:bCs/>
        </w:rPr>
        <w:t xml:space="preserve"> </w:t>
      </w:r>
      <w:r w:rsidRPr="00B241C4">
        <w:rPr>
          <w:bCs/>
        </w:rPr>
        <w:t>došlo ke změně částky vyměřovacího základu pojistného na veřejné zd</w:t>
      </w:r>
      <w:r w:rsidR="00B241C4">
        <w:rPr>
          <w:bCs/>
        </w:rPr>
        <w:t>ravotní pojištění u osob, za které</w:t>
      </w:r>
      <w:r w:rsidRPr="00B241C4">
        <w:rPr>
          <w:bCs/>
        </w:rPr>
        <w:t xml:space="preserve"> je plátcem pojistného stát. </w:t>
      </w:r>
      <w:r w:rsidR="002A710F" w:rsidRPr="00B241C4">
        <w:t>Od 1. 1. 2023</w:t>
      </w:r>
      <w:r w:rsidR="00DA2669" w:rsidRPr="00B241C4">
        <w:t xml:space="preserve"> se zvýšila </w:t>
      </w:r>
      <w:r w:rsidR="00B241C4" w:rsidRPr="00B241C4">
        <w:t>částka vyměřovacího základu z 11 014</w:t>
      </w:r>
      <w:r w:rsidR="00DA2669" w:rsidRPr="00B241C4">
        <w:t xml:space="preserve"> Kč </w:t>
      </w:r>
      <w:r w:rsidR="00B241C4" w:rsidRPr="00B241C4">
        <w:t>na 14 074 Kč za kalendářní měsíc</w:t>
      </w:r>
      <w:r w:rsidR="00DA2669" w:rsidRPr="00B241C4">
        <w:t xml:space="preserve">. To představovalo zvýšení </w:t>
      </w:r>
      <w:r w:rsidR="00B241C4" w:rsidRPr="00B241C4">
        <w:t>měsíční platby za osobu z částky 1 487 Kč na 1 900</w:t>
      </w:r>
      <w:r w:rsidR="00DA2669" w:rsidRPr="00B241C4">
        <w:t xml:space="preserve"> Kč. </w:t>
      </w:r>
    </w:p>
    <w:p w14:paraId="6ED404CA" w14:textId="0C4D285C" w:rsidR="00825BFA" w:rsidRDefault="00D573C8" w:rsidP="000458EB">
      <w:pPr>
        <w:pStyle w:val="Titulek"/>
        <w:jc w:val="both"/>
      </w:pPr>
      <w:bookmarkStart w:id="8" w:name="_Toc168993226"/>
      <w:r w:rsidRPr="00B241C4">
        <w:t xml:space="preserve">Tabulka č. </w:t>
      </w:r>
      <w:r w:rsidRPr="00B241C4">
        <w:rPr>
          <w:noProof/>
        </w:rPr>
        <w:fldChar w:fldCharType="begin"/>
      </w:r>
      <w:r w:rsidRPr="00B241C4">
        <w:rPr>
          <w:noProof/>
        </w:rPr>
        <w:instrText xml:space="preserve"> SEQ Tabulka \* ARABIC </w:instrText>
      </w:r>
      <w:r w:rsidRPr="00B241C4">
        <w:rPr>
          <w:noProof/>
        </w:rPr>
        <w:fldChar w:fldCharType="separate"/>
      </w:r>
      <w:r w:rsidR="00904274">
        <w:rPr>
          <w:noProof/>
        </w:rPr>
        <w:t>1</w:t>
      </w:r>
      <w:r w:rsidRPr="00B241C4">
        <w:rPr>
          <w:noProof/>
        </w:rPr>
        <w:fldChar w:fldCharType="end"/>
      </w:r>
      <w:r w:rsidRPr="00B241C4">
        <w:t xml:space="preserve">: Příjmy systému v. z. p. za rok </w:t>
      </w:r>
      <w:r w:rsidR="00825BFA" w:rsidRPr="00B241C4">
        <w:t>202</w:t>
      </w:r>
      <w:r w:rsidR="00B241C4" w:rsidRPr="00B241C4">
        <w:t>3</w:t>
      </w:r>
      <w:bookmarkEnd w:id="8"/>
    </w:p>
    <w:p w14:paraId="7B206CF4" w14:textId="439D27E0" w:rsidR="00B241C4" w:rsidRPr="00B241C4" w:rsidRDefault="00AA701C" w:rsidP="00B241C4">
      <w:pPr>
        <w:jc w:val="center"/>
        <w:rPr>
          <w:lang w:bidi="hi-IN"/>
        </w:rPr>
      </w:pPr>
      <w:r w:rsidRPr="00AA701C">
        <w:rPr>
          <w:noProof/>
          <w:lang w:eastAsia="cs-CZ"/>
        </w:rPr>
        <w:drawing>
          <wp:inline distT="0" distB="0" distL="0" distR="0" wp14:anchorId="414ADB90" wp14:editId="2875A08E">
            <wp:extent cx="4051300" cy="1441450"/>
            <wp:effectExtent l="0" t="0" r="6350" b="635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51300" cy="1441450"/>
                    </a:xfrm>
                    <a:prstGeom prst="rect">
                      <a:avLst/>
                    </a:prstGeom>
                    <a:noFill/>
                    <a:ln>
                      <a:noFill/>
                    </a:ln>
                  </pic:spPr>
                </pic:pic>
              </a:graphicData>
            </a:graphic>
          </wp:inline>
        </w:drawing>
      </w:r>
    </w:p>
    <w:p w14:paraId="4CDDEB7B" w14:textId="75E78C2A" w:rsidR="00B31CB7" w:rsidRDefault="00D573C8" w:rsidP="00B31CB7">
      <w:pPr>
        <w:spacing w:before="180" w:line="276" w:lineRule="auto"/>
        <w:jc w:val="both"/>
        <w:rPr>
          <w:bCs/>
        </w:rPr>
      </w:pPr>
      <w:r w:rsidRPr="00B241C4">
        <w:rPr>
          <w:b/>
        </w:rPr>
        <w:t>Příjmy z vlastního výběru pojistného</w:t>
      </w:r>
      <w:r w:rsidRPr="00B241C4">
        <w:rPr>
          <w:bCs/>
        </w:rPr>
        <w:t xml:space="preserve">, tj. vybrané pojistné </w:t>
      </w:r>
      <w:r w:rsidR="00AB72F6" w:rsidRPr="00B241C4">
        <w:rPr>
          <w:bCs/>
        </w:rPr>
        <w:t xml:space="preserve">zdravotními pojišťovnami </w:t>
      </w:r>
      <w:r w:rsidRPr="00B241C4">
        <w:rPr>
          <w:bCs/>
        </w:rPr>
        <w:t xml:space="preserve">od všech skupin plátců, zaměstnavatelů, osob samostatně výdělečně činných (OSVČ) a osob bez zdanitelných příjmů (OBZP) dosáhly </w:t>
      </w:r>
      <w:r w:rsidRPr="00EF25CF">
        <w:rPr>
          <w:bCs/>
        </w:rPr>
        <w:t xml:space="preserve">hodnoty </w:t>
      </w:r>
      <w:r w:rsidR="00EF25CF" w:rsidRPr="00EF25CF">
        <w:rPr>
          <w:b/>
        </w:rPr>
        <w:t>320</w:t>
      </w:r>
      <w:r w:rsidR="00F83566" w:rsidRPr="00EF25CF">
        <w:rPr>
          <w:b/>
        </w:rPr>
        <w:t xml:space="preserve"> </w:t>
      </w:r>
      <w:r w:rsidRPr="00EF25CF">
        <w:rPr>
          <w:b/>
        </w:rPr>
        <w:t>mld. Kč</w:t>
      </w:r>
      <w:r w:rsidRPr="00EF25CF">
        <w:rPr>
          <w:bCs/>
        </w:rPr>
        <w:t xml:space="preserve"> (meziroční nárůst o </w:t>
      </w:r>
      <w:r w:rsidR="00EF25CF" w:rsidRPr="00EF25CF">
        <w:rPr>
          <w:bCs/>
        </w:rPr>
        <w:t>8,2</w:t>
      </w:r>
      <w:r w:rsidR="00A6676F" w:rsidRPr="00EF25CF">
        <w:rPr>
          <w:bCs/>
        </w:rPr>
        <w:t xml:space="preserve"> </w:t>
      </w:r>
      <w:r w:rsidRPr="00EF25CF">
        <w:rPr>
          <w:bCs/>
        </w:rPr>
        <w:t>%</w:t>
      </w:r>
      <w:r w:rsidR="00B05D68" w:rsidRPr="00EF25CF">
        <w:rPr>
          <w:bCs/>
        </w:rPr>
        <w:t>,</w:t>
      </w:r>
      <w:r w:rsidR="00ED1359" w:rsidRPr="00EF25CF">
        <w:rPr>
          <w:bCs/>
        </w:rPr>
        <w:t xml:space="preserve"> </w:t>
      </w:r>
      <w:r w:rsidR="00C575F5" w:rsidRPr="00EF25CF">
        <w:rPr>
          <w:bCs/>
        </w:rPr>
        <w:t xml:space="preserve">abs. </w:t>
      </w:r>
      <w:r w:rsidR="00ED1359" w:rsidRPr="00EF25CF">
        <w:rPr>
          <w:bCs/>
        </w:rPr>
        <w:t>+</w:t>
      </w:r>
      <w:r w:rsidR="00EF25CF" w:rsidRPr="00EF25CF">
        <w:rPr>
          <w:bCs/>
        </w:rPr>
        <w:t>24,1</w:t>
      </w:r>
      <w:r w:rsidR="00ED1359" w:rsidRPr="00EF25CF">
        <w:rPr>
          <w:bCs/>
        </w:rPr>
        <w:t xml:space="preserve"> mld. Kč</w:t>
      </w:r>
      <w:r w:rsidR="004C0092" w:rsidRPr="00EF25CF">
        <w:rPr>
          <w:bCs/>
        </w:rPr>
        <w:t>)</w:t>
      </w:r>
      <w:r w:rsidR="00ED1359" w:rsidRPr="00EF25CF">
        <w:rPr>
          <w:bCs/>
        </w:rPr>
        <w:t>.</w:t>
      </w:r>
      <w:r w:rsidRPr="00EF25CF">
        <w:rPr>
          <w:bCs/>
        </w:rPr>
        <w:t xml:space="preserve"> </w:t>
      </w:r>
      <w:r w:rsidR="00ED1359" w:rsidRPr="00803EA4">
        <w:rPr>
          <w:bCs/>
        </w:rPr>
        <w:t>V</w:t>
      </w:r>
      <w:r w:rsidRPr="00803EA4">
        <w:rPr>
          <w:bCs/>
        </w:rPr>
        <w:t xml:space="preserve">e srovnání se ZPP </w:t>
      </w:r>
      <w:r w:rsidR="00ED1359" w:rsidRPr="00803EA4">
        <w:rPr>
          <w:bCs/>
        </w:rPr>
        <w:t xml:space="preserve">pak </w:t>
      </w:r>
      <w:r w:rsidR="008F1785" w:rsidRPr="00803EA4">
        <w:rPr>
          <w:bCs/>
        </w:rPr>
        <w:t xml:space="preserve">byl </w:t>
      </w:r>
      <w:r w:rsidR="00ED1359" w:rsidRPr="00803EA4">
        <w:rPr>
          <w:bCs/>
        </w:rPr>
        <w:t xml:space="preserve">růst </w:t>
      </w:r>
      <w:r w:rsidRPr="00803EA4">
        <w:rPr>
          <w:bCs/>
        </w:rPr>
        <w:t xml:space="preserve">o </w:t>
      </w:r>
      <w:r w:rsidR="00803EA4" w:rsidRPr="00803EA4">
        <w:rPr>
          <w:bCs/>
        </w:rPr>
        <w:t>0,6</w:t>
      </w:r>
      <w:r w:rsidRPr="00803EA4">
        <w:rPr>
          <w:bCs/>
        </w:rPr>
        <w:t xml:space="preserve"> %</w:t>
      </w:r>
      <w:r w:rsidR="00ED1359" w:rsidRPr="00803EA4">
        <w:rPr>
          <w:bCs/>
        </w:rPr>
        <w:t xml:space="preserve"> (</w:t>
      </w:r>
      <w:r w:rsidR="00977A0A" w:rsidRPr="00803EA4">
        <w:rPr>
          <w:bCs/>
        </w:rPr>
        <w:t>+</w:t>
      </w:r>
      <w:r w:rsidR="00803EA4" w:rsidRPr="00803EA4">
        <w:rPr>
          <w:bCs/>
        </w:rPr>
        <w:t>2,0</w:t>
      </w:r>
      <w:r w:rsidR="006C43DB" w:rsidRPr="00803EA4">
        <w:rPr>
          <w:bCs/>
        </w:rPr>
        <w:t> </w:t>
      </w:r>
      <w:r w:rsidR="00ED1359" w:rsidRPr="00803EA4">
        <w:rPr>
          <w:bCs/>
        </w:rPr>
        <w:t>mld. Kč</w:t>
      </w:r>
      <w:r w:rsidRPr="00803EA4">
        <w:rPr>
          <w:bCs/>
        </w:rPr>
        <w:t>)</w:t>
      </w:r>
      <w:r w:rsidR="00803EA4" w:rsidRPr="00803EA4">
        <w:rPr>
          <w:bCs/>
        </w:rPr>
        <w:t xml:space="preserve"> vyšší</w:t>
      </w:r>
      <w:r w:rsidRPr="00803EA4">
        <w:rPr>
          <w:bCs/>
        </w:rPr>
        <w:t>.</w:t>
      </w:r>
      <w:r w:rsidR="00B31CB7">
        <w:rPr>
          <w:bCs/>
        </w:rPr>
        <w:t xml:space="preserve"> Příjmy z pojistného byly ovlivněny, mj.:</w:t>
      </w:r>
    </w:p>
    <w:p w14:paraId="7F5CEC1D" w14:textId="5C699B1A" w:rsidR="00B31CB7" w:rsidRPr="00B31CB7" w:rsidRDefault="00B31CB7" w:rsidP="00B31CB7">
      <w:pPr>
        <w:spacing w:after="0" w:line="276" w:lineRule="auto"/>
        <w:jc w:val="both"/>
        <w:rPr>
          <w:bCs/>
        </w:rPr>
      </w:pPr>
      <w:r w:rsidRPr="00B31CB7">
        <w:rPr>
          <w:bCs/>
        </w:rPr>
        <w:t>•</w:t>
      </w:r>
      <w:r w:rsidRPr="00B31CB7">
        <w:rPr>
          <w:bCs/>
        </w:rPr>
        <w:tab/>
        <w:t>zvýšení</w:t>
      </w:r>
      <w:r>
        <w:rPr>
          <w:bCs/>
        </w:rPr>
        <w:t>m</w:t>
      </w:r>
      <w:r w:rsidRPr="00B31CB7">
        <w:rPr>
          <w:bCs/>
        </w:rPr>
        <w:t xml:space="preserve"> měsíční minimální mzdy z částky 16 200 Kč na 17 300 Kč od 1. 1. 2023, měsíční pojistné OBZP se tak zvýšilo z 2 187 Kč na 2</w:t>
      </w:r>
      <w:r w:rsidR="0075729F">
        <w:rPr>
          <w:bCs/>
        </w:rPr>
        <w:t> </w:t>
      </w:r>
      <w:r w:rsidRPr="00B31CB7">
        <w:rPr>
          <w:bCs/>
        </w:rPr>
        <w:t>336 Kč, zvýšil se tím i minimální vyměřovací základ pro zaměstnance,</w:t>
      </w:r>
    </w:p>
    <w:p w14:paraId="3AF06F8D" w14:textId="5A700A63" w:rsidR="00B31CB7" w:rsidRDefault="00B31CB7" w:rsidP="00B31CB7">
      <w:pPr>
        <w:spacing w:after="0" w:line="276" w:lineRule="auto"/>
        <w:jc w:val="both"/>
        <w:rPr>
          <w:bCs/>
        </w:rPr>
      </w:pPr>
      <w:r w:rsidRPr="00B31CB7">
        <w:rPr>
          <w:bCs/>
        </w:rPr>
        <w:t>•</w:t>
      </w:r>
      <w:r w:rsidRPr="00B31CB7">
        <w:rPr>
          <w:bCs/>
        </w:rPr>
        <w:tab/>
        <w:t>zvýšení</w:t>
      </w:r>
      <w:r>
        <w:rPr>
          <w:bCs/>
        </w:rPr>
        <w:t>m</w:t>
      </w:r>
      <w:r w:rsidRPr="00B31CB7">
        <w:rPr>
          <w:bCs/>
        </w:rPr>
        <w:t xml:space="preserve"> minimálního vyměřovacího základu OSVČ</w:t>
      </w:r>
      <w:r>
        <w:rPr>
          <w:bCs/>
        </w:rPr>
        <w:t xml:space="preserve"> od 1. 1. 2023 a z toho odvozeným</w:t>
      </w:r>
      <w:r w:rsidRPr="00B31CB7">
        <w:rPr>
          <w:bCs/>
        </w:rPr>
        <w:t xml:space="preserve"> zvýšení</w:t>
      </w:r>
      <w:r>
        <w:rPr>
          <w:bCs/>
        </w:rPr>
        <w:t>m</w:t>
      </w:r>
      <w:r w:rsidRPr="00B31CB7">
        <w:rPr>
          <w:bCs/>
        </w:rPr>
        <w:t xml:space="preserve"> minimální měsíční zálohy na pojistné v částc</w:t>
      </w:r>
      <w:r>
        <w:rPr>
          <w:bCs/>
        </w:rPr>
        <w:t>e 2</w:t>
      </w:r>
      <w:r w:rsidR="0075729F">
        <w:rPr>
          <w:bCs/>
        </w:rPr>
        <w:t> </w:t>
      </w:r>
      <w:r>
        <w:rPr>
          <w:bCs/>
        </w:rPr>
        <w:t>722 Kč (zvýšenou z 2 627 Kč).</w:t>
      </w:r>
    </w:p>
    <w:p w14:paraId="7889518A" w14:textId="77777777" w:rsidR="00B31CB7" w:rsidRPr="00B31CB7" w:rsidRDefault="00B31CB7" w:rsidP="00B31CB7">
      <w:pPr>
        <w:spacing w:after="0" w:line="276" w:lineRule="auto"/>
        <w:jc w:val="both"/>
        <w:rPr>
          <w:bCs/>
        </w:rPr>
      </w:pPr>
    </w:p>
    <w:p w14:paraId="5FD80DAF" w14:textId="31FD32FD" w:rsidR="0044520A" w:rsidRPr="00A36740" w:rsidRDefault="007058F6" w:rsidP="00D573C8">
      <w:pPr>
        <w:jc w:val="both"/>
        <w:rPr>
          <w:bCs/>
          <w:highlight w:val="yellow"/>
        </w:rPr>
      </w:pPr>
      <w:r>
        <w:rPr>
          <w:b/>
        </w:rPr>
        <w:t xml:space="preserve">Příjmy z přerozdělování </w:t>
      </w:r>
      <w:r w:rsidRPr="009E7D32">
        <w:t>(</w:t>
      </w:r>
      <w:r w:rsidR="00510B95" w:rsidRPr="009E7D32">
        <w:t>především p</w:t>
      </w:r>
      <w:r w:rsidR="00D573C8" w:rsidRPr="009E7D32">
        <w:t>říjmy ze státního rozpočtu za osoby, za které je plátcem pojistného stát</w:t>
      </w:r>
      <w:r w:rsidR="00D573C8" w:rsidRPr="007058F6">
        <w:rPr>
          <w:bCs/>
        </w:rPr>
        <w:t xml:space="preserve"> </w:t>
      </w:r>
      <w:r w:rsidR="00D573C8" w:rsidRPr="00803EA4">
        <w:rPr>
          <w:bCs/>
        </w:rPr>
        <w:t>(dále „platba státu“)</w:t>
      </w:r>
      <w:r>
        <w:rPr>
          <w:bCs/>
        </w:rPr>
        <w:t>) vytvářely</w:t>
      </w:r>
      <w:r w:rsidR="00D573C8" w:rsidRPr="00803EA4">
        <w:rPr>
          <w:bCs/>
        </w:rPr>
        <w:t xml:space="preserve"> </w:t>
      </w:r>
      <w:r w:rsidR="00803EA4" w:rsidRPr="00803EA4">
        <w:rPr>
          <w:bCs/>
        </w:rPr>
        <w:t>30,36</w:t>
      </w:r>
      <w:r w:rsidR="00FB17AC" w:rsidRPr="00803EA4">
        <w:rPr>
          <w:bCs/>
        </w:rPr>
        <w:t xml:space="preserve"> </w:t>
      </w:r>
      <w:r w:rsidR="00D573C8" w:rsidRPr="00803EA4">
        <w:rPr>
          <w:bCs/>
        </w:rPr>
        <w:t xml:space="preserve">% z celkových příjmů systému v. z. p. v hodnotě </w:t>
      </w:r>
      <w:r w:rsidR="00CF36CE">
        <w:rPr>
          <w:b/>
        </w:rPr>
        <w:t>1</w:t>
      </w:r>
      <w:r w:rsidR="00510B95">
        <w:rPr>
          <w:b/>
        </w:rPr>
        <w:t>41,9</w:t>
      </w:r>
      <w:r w:rsidR="00FB17AC" w:rsidRPr="00803EA4">
        <w:rPr>
          <w:b/>
        </w:rPr>
        <w:t xml:space="preserve"> </w:t>
      </w:r>
      <w:r w:rsidR="00D573C8" w:rsidRPr="00803EA4">
        <w:rPr>
          <w:b/>
        </w:rPr>
        <w:t>mld. Kč</w:t>
      </w:r>
      <w:r w:rsidR="00D573C8" w:rsidRPr="00803EA4">
        <w:rPr>
          <w:bCs/>
        </w:rPr>
        <w:t xml:space="preserve"> (meziroční nárůst o </w:t>
      </w:r>
      <w:r w:rsidR="00803EA4" w:rsidRPr="00803EA4">
        <w:rPr>
          <w:bCs/>
        </w:rPr>
        <w:t>7,2</w:t>
      </w:r>
      <w:r w:rsidR="00D573C8" w:rsidRPr="00803EA4">
        <w:rPr>
          <w:bCs/>
        </w:rPr>
        <w:t xml:space="preserve"> %, tj. o cca </w:t>
      </w:r>
      <w:r w:rsidR="00803EA4" w:rsidRPr="00803EA4">
        <w:rPr>
          <w:bCs/>
        </w:rPr>
        <w:t>9,3</w:t>
      </w:r>
      <w:r w:rsidR="00D573C8" w:rsidRPr="00803EA4">
        <w:rPr>
          <w:bCs/>
        </w:rPr>
        <w:t xml:space="preserve"> mld. Kč). </w:t>
      </w:r>
      <w:r w:rsidR="00D573C8" w:rsidRPr="00CF36CE">
        <w:rPr>
          <w:bCs/>
        </w:rPr>
        <w:t xml:space="preserve">Celkový průměrný počet tzv. státních pojištěnců za rok </w:t>
      </w:r>
      <w:r w:rsidR="00FB17AC" w:rsidRPr="00CF36CE">
        <w:rPr>
          <w:bCs/>
        </w:rPr>
        <w:t>202</w:t>
      </w:r>
      <w:r w:rsidR="00066BE4">
        <w:rPr>
          <w:bCs/>
        </w:rPr>
        <w:t>3</w:t>
      </w:r>
      <w:r w:rsidR="00FB17AC" w:rsidRPr="00CF36CE">
        <w:rPr>
          <w:bCs/>
        </w:rPr>
        <w:t xml:space="preserve"> </w:t>
      </w:r>
      <w:r w:rsidR="00D573C8" w:rsidRPr="00CF36CE">
        <w:rPr>
          <w:bCs/>
        </w:rPr>
        <w:t xml:space="preserve">dosáhl </w:t>
      </w:r>
      <w:r w:rsidR="00CF36CE" w:rsidRPr="00CF36CE">
        <w:rPr>
          <w:bCs/>
        </w:rPr>
        <w:t>6,08</w:t>
      </w:r>
      <w:r w:rsidR="00CC7390" w:rsidRPr="00CF36CE">
        <w:rPr>
          <w:bCs/>
        </w:rPr>
        <w:t xml:space="preserve"> </w:t>
      </w:r>
      <w:r w:rsidR="00D573C8" w:rsidRPr="00CF36CE">
        <w:rPr>
          <w:bCs/>
        </w:rPr>
        <w:t xml:space="preserve">mil. </w:t>
      </w:r>
      <w:r w:rsidR="00CF36CE" w:rsidRPr="00CF36CE">
        <w:rPr>
          <w:bCs/>
        </w:rPr>
        <w:t>o</w:t>
      </w:r>
      <w:r w:rsidR="00D573C8" w:rsidRPr="00CF36CE">
        <w:rPr>
          <w:bCs/>
        </w:rPr>
        <w:t>sob</w:t>
      </w:r>
      <w:r w:rsidR="00CF36CE" w:rsidRPr="00CF36CE">
        <w:rPr>
          <w:bCs/>
        </w:rPr>
        <w:t>, což představovalo mírný pokles z hodnoty 6,1 mil. osob v roce 2022</w:t>
      </w:r>
      <w:r w:rsidR="00E45749" w:rsidRPr="00CF36CE">
        <w:rPr>
          <w:bCs/>
        </w:rPr>
        <w:t>.</w:t>
      </w:r>
      <w:r w:rsidR="00CC7390" w:rsidRPr="00CF36CE">
        <w:rPr>
          <w:bCs/>
        </w:rPr>
        <w:t xml:space="preserve"> </w:t>
      </w:r>
    </w:p>
    <w:p w14:paraId="3D8BECED" w14:textId="37B78F61" w:rsidR="00D573C8" w:rsidRPr="001D13D2" w:rsidRDefault="00C65D22" w:rsidP="0075729F">
      <w:pPr>
        <w:spacing w:after="120" w:line="276" w:lineRule="auto"/>
        <w:jc w:val="both"/>
      </w:pPr>
      <w:r w:rsidRPr="001D13D2">
        <w:t xml:space="preserve">Od roku 2018 se částka určená k přerozdělování rozděluje podle proměnlivých parametrů přerozdělování, kterými jsou nastavitelné parametry a vypočítané parametry. Mezi ně patří jednak veličiny související s novým parametrem tohoto mechanismu </w:t>
      </w:r>
      <w:r w:rsidR="00780263" w:rsidRPr="001D13D2">
        <w:t>–</w:t>
      </w:r>
      <w:r w:rsidRPr="001D13D2">
        <w:t xml:space="preserve"> PCG (farmaceuticko-nákladové skupiny) a dále nákladové indexy </w:t>
      </w:r>
      <w:r w:rsidR="0075729F">
        <w:t>dle pohlaví a </w:t>
      </w:r>
      <w:r w:rsidRPr="001D13D2">
        <w:t xml:space="preserve">věkových skupin (podrobněji viz zákon č. 592/1992 Sb., o pojistném na veřejné zdravotní pojištění ve znění pozdějších předpisů). </w:t>
      </w:r>
      <w:r w:rsidR="000F7C33" w:rsidRPr="001D13D2">
        <w:t xml:space="preserve">Mechanismus PCG by měl přispět k většímu zohlednění chronicky nemocných pacientů v kmenu jednotlivých ZP. </w:t>
      </w:r>
      <w:r w:rsidRPr="001D13D2">
        <w:t xml:space="preserve">Zvláštní postup je používán u propočtu podílu za tzv. „nákladné pojištěnce“ v oddělené části systému 100% přerozdělování. Principu 100% přerozdělování pojistného podléhalo v roce </w:t>
      </w:r>
      <w:r w:rsidR="001D13D2" w:rsidRPr="001D13D2">
        <w:t>2023</w:t>
      </w:r>
      <w:r w:rsidR="0076567F" w:rsidRPr="001D13D2">
        <w:t xml:space="preserve"> </w:t>
      </w:r>
      <w:r w:rsidRPr="001D13D2">
        <w:t xml:space="preserve">veškeré vybrané pojistné (vč. výše uvedené části výnosů </w:t>
      </w:r>
      <w:r w:rsidR="00993BC8" w:rsidRPr="001D13D2">
        <w:t>paušálních záloh připadajících na pojistné na zdravotní pojištění</w:t>
      </w:r>
      <w:r w:rsidRPr="001D13D2">
        <w:t xml:space="preserve">), platba státu i prostředky úroků vzniklých na zvláštním účtu přerozdělování (snížené o poplatky za vedení tohoto účtu). Prostředky získané podle § 6a zákona č. 280/1992 Sb., </w:t>
      </w:r>
      <w:r w:rsidRPr="001D13D2">
        <w:rPr>
          <w:rFonts w:eastAsia="Calibri"/>
        </w:rPr>
        <w:t>o resortních, oborových, podnikových a dalších zdravotních pojišťovnách,</w:t>
      </w:r>
      <w:r w:rsidRPr="001D13D2">
        <w:t xml:space="preserve"> ve znění pozdějších předpisů při uzavření procesu likvidace některé ze dvou ZZP nebyly v roce 202</w:t>
      </w:r>
      <w:r w:rsidR="001D13D2" w:rsidRPr="001D13D2">
        <w:t>3</w:t>
      </w:r>
      <w:r w:rsidRPr="001D13D2">
        <w:t xml:space="preserve"> realizovány. </w:t>
      </w:r>
    </w:p>
    <w:p w14:paraId="4A02ED03" w14:textId="3FF99BD8" w:rsidR="00D573C8" w:rsidRPr="001D13D2" w:rsidRDefault="00D573C8" w:rsidP="00B8135D">
      <w:pPr>
        <w:pStyle w:val="Titulek"/>
        <w:spacing w:before="120"/>
      </w:pPr>
      <w:bookmarkStart w:id="9" w:name="_Toc106884095"/>
      <w:r w:rsidRPr="001D13D2">
        <w:t xml:space="preserve">Graf č. </w:t>
      </w:r>
      <w:r w:rsidRPr="001D13D2">
        <w:rPr>
          <w:noProof/>
        </w:rPr>
        <w:fldChar w:fldCharType="begin"/>
      </w:r>
      <w:r w:rsidRPr="001D13D2">
        <w:rPr>
          <w:noProof/>
        </w:rPr>
        <w:instrText xml:space="preserve"> SEQ Graf \* ARABIC </w:instrText>
      </w:r>
      <w:r w:rsidRPr="001D13D2">
        <w:rPr>
          <w:noProof/>
        </w:rPr>
        <w:fldChar w:fldCharType="separate"/>
      </w:r>
      <w:r w:rsidR="00904274">
        <w:rPr>
          <w:noProof/>
        </w:rPr>
        <w:t>1</w:t>
      </w:r>
      <w:r w:rsidRPr="001D13D2">
        <w:rPr>
          <w:noProof/>
        </w:rPr>
        <w:fldChar w:fldCharType="end"/>
      </w:r>
      <w:r w:rsidRPr="001D13D2">
        <w:t xml:space="preserve">: Struktura příjmů celkem za rok </w:t>
      </w:r>
      <w:r w:rsidR="008D3267" w:rsidRPr="001D13D2">
        <w:t>202</w:t>
      </w:r>
      <w:bookmarkEnd w:id="9"/>
      <w:r w:rsidR="001D13D2" w:rsidRPr="001D13D2">
        <w:t>3</w:t>
      </w:r>
    </w:p>
    <w:p w14:paraId="2E7D441A" w14:textId="6993CA4A" w:rsidR="007406A2" w:rsidRDefault="001D13D2" w:rsidP="001D13D2">
      <w:pPr>
        <w:spacing w:before="180" w:line="276" w:lineRule="auto"/>
        <w:jc w:val="center"/>
        <w:rPr>
          <w:noProof/>
          <w:highlight w:val="yellow"/>
          <w:lang w:eastAsia="cs-CZ"/>
        </w:rPr>
      </w:pPr>
      <w:r>
        <w:rPr>
          <w:noProof/>
          <w:highlight w:val="yellow"/>
          <w:lang w:eastAsia="cs-CZ"/>
        </w:rPr>
        <w:drawing>
          <wp:inline distT="0" distB="0" distL="0" distR="0" wp14:anchorId="359F74AD" wp14:editId="1511B7BB">
            <wp:extent cx="4435582" cy="3098800"/>
            <wp:effectExtent l="0" t="0" r="3175" b="63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38052" cy="3100526"/>
                    </a:xfrm>
                    <a:prstGeom prst="rect">
                      <a:avLst/>
                    </a:prstGeom>
                    <a:noFill/>
                  </pic:spPr>
                </pic:pic>
              </a:graphicData>
            </a:graphic>
          </wp:inline>
        </w:drawing>
      </w:r>
    </w:p>
    <w:p w14:paraId="17233169" w14:textId="77777777" w:rsidR="001D13D2" w:rsidRPr="00A36740" w:rsidRDefault="001D13D2" w:rsidP="004309C5">
      <w:pPr>
        <w:spacing w:before="180" w:line="276" w:lineRule="auto"/>
        <w:jc w:val="both"/>
        <w:rPr>
          <w:b/>
          <w:highlight w:val="yellow"/>
        </w:rPr>
      </w:pPr>
    </w:p>
    <w:p w14:paraId="7E9ECD7E" w14:textId="2F0214CD" w:rsidR="004309C5" w:rsidRPr="00E74AF6" w:rsidRDefault="004309C5" w:rsidP="004309C5">
      <w:pPr>
        <w:spacing w:before="180" w:line="276" w:lineRule="auto"/>
        <w:jc w:val="both"/>
        <w:rPr>
          <w:bCs/>
        </w:rPr>
      </w:pPr>
      <w:r w:rsidRPr="00E74AF6">
        <w:rPr>
          <w:b/>
        </w:rPr>
        <w:t>Ostatní příjmy systému v. z. p.</w:t>
      </w:r>
      <w:r w:rsidRPr="00E74AF6">
        <w:rPr>
          <w:bCs/>
        </w:rPr>
        <w:t xml:space="preserve"> ve výši cca 0,84 % z celkových příjmů v hodnotě </w:t>
      </w:r>
      <w:r w:rsidRPr="00E74AF6">
        <w:rPr>
          <w:b/>
        </w:rPr>
        <w:t>3,</w:t>
      </w:r>
      <w:r w:rsidR="00E74AF6" w:rsidRPr="00E74AF6">
        <w:rPr>
          <w:b/>
        </w:rPr>
        <w:t>4</w:t>
      </w:r>
      <w:r w:rsidRPr="00E74AF6">
        <w:rPr>
          <w:b/>
        </w:rPr>
        <w:t xml:space="preserve"> mld. Kč</w:t>
      </w:r>
      <w:r w:rsidR="00E74AF6" w:rsidRPr="00E74AF6">
        <w:rPr>
          <w:bCs/>
        </w:rPr>
        <w:t xml:space="preserve"> mají jen malý</w:t>
      </w:r>
      <w:r w:rsidRPr="00E74AF6">
        <w:rPr>
          <w:bCs/>
        </w:rPr>
        <w:t xml:space="preserve"> význam a tvoří je především sankční příjmy (penále, pokuty, přirážky, náhrady škod), úroky a dotace Ministerstva obrany (MO). MO přispívá na úhradu zdravotní péče pro vojáky na základě § 11 odst. 3 zákona č. 48/1997 Sb.</w:t>
      </w:r>
    </w:p>
    <w:p w14:paraId="2D3E4805" w14:textId="08650147" w:rsidR="004309C5" w:rsidRPr="00E74AF6" w:rsidRDefault="004309C5" w:rsidP="004309C5">
      <w:pPr>
        <w:spacing w:before="180" w:line="276" w:lineRule="auto"/>
        <w:jc w:val="both"/>
        <w:rPr>
          <w:bCs/>
        </w:rPr>
      </w:pPr>
      <w:r w:rsidRPr="00E74AF6">
        <w:rPr>
          <w:b/>
        </w:rPr>
        <w:t>Příjmy od zahraničních pojišťoven</w:t>
      </w:r>
      <w:r w:rsidRPr="00E74AF6">
        <w:rPr>
          <w:bCs/>
        </w:rPr>
        <w:t xml:space="preserve">, součást příjmů ZFZP (základní fond zdravotního pojištění) </w:t>
      </w:r>
      <w:r w:rsidR="006F1458">
        <w:rPr>
          <w:bCs/>
        </w:rPr>
        <w:t>po</w:t>
      </w:r>
      <w:r w:rsidRPr="00E74AF6">
        <w:rPr>
          <w:bCs/>
        </w:rPr>
        <w:t>dle § 1 odst. 1 písm.</w:t>
      </w:r>
      <w:r w:rsidR="00820889" w:rsidRPr="00E74AF6">
        <w:rPr>
          <w:bCs/>
        </w:rPr>
        <w:t> </w:t>
      </w:r>
      <w:r w:rsidRPr="00E74AF6">
        <w:rPr>
          <w:bCs/>
        </w:rPr>
        <w:t xml:space="preserve">f) vyhlášky č. 418/2003 Sb., byly ve výši </w:t>
      </w:r>
      <w:r w:rsidR="00E74AF6" w:rsidRPr="00E74AF6">
        <w:rPr>
          <w:b/>
        </w:rPr>
        <w:t>2,2</w:t>
      </w:r>
      <w:r w:rsidRPr="00E74AF6">
        <w:rPr>
          <w:b/>
        </w:rPr>
        <w:t xml:space="preserve"> mld. Kč</w:t>
      </w:r>
      <w:r w:rsidR="00E74AF6" w:rsidRPr="00E74AF6">
        <w:rPr>
          <w:bCs/>
        </w:rPr>
        <w:t>, tj. cca 0,47</w:t>
      </w:r>
      <w:r w:rsidRPr="00E74AF6">
        <w:rPr>
          <w:bCs/>
        </w:rPr>
        <w:t xml:space="preserve"> % celkových příjmů v. z. p. </w:t>
      </w:r>
    </w:p>
    <w:p w14:paraId="495DBB5C" w14:textId="02289D5A" w:rsidR="004309C5" w:rsidRPr="00E74AF6" w:rsidRDefault="004309C5" w:rsidP="004309C5">
      <w:pPr>
        <w:spacing w:before="180" w:line="276" w:lineRule="auto"/>
        <w:jc w:val="both"/>
        <w:rPr>
          <w:bCs/>
        </w:rPr>
      </w:pPr>
      <w:r w:rsidRPr="00E74AF6">
        <w:rPr>
          <w:bCs/>
        </w:rPr>
        <w:t xml:space="preserve">Zcela minimální podíl na celkových příjmech mají </w:t>
      </w:r>
      <w:r w:rsidRPr="00E74AF6">
        <w:rPr>
          <w:b/>
        </w:rPr>
        <w:t>výnosy z jiných činností</w:t>
      </w:r>
      <w:r w:rsidRPr="00E74AF6">
        <w:rPr>
          <w:bCs/>
        </w:rPr>
        <w:t>, a to ve výši 0,0</w:t>
      </w:r>
      <w:r w:rsidR="00D26016" w:rsidRPr="00E74AF6">
        <w:rPr>
          <w:bCs/>
        </w:rPr>
        <w:t>2</w:t>
      </w:r>
      <w:r w:rsidRPr="00E74AF6">
        <w:rPr>
          <w:bCs/>
        </w:rPr>
        <w:t xml:space="preserve"> % v hodnotě </w:t>
      </w:r>
      <w:r w:rsidRPr="00E74AF6">
        <w:rPr>
          <w:b/>
        </w:rPr>
        <w:t>0,0</w:t>
      </w:r>
      <w:r w:rsidR="00D26016" w:rsidRPr="00E74AF6">
        <w:rPr>
          <w:b/>
        </w:rPr>
        <w:t>8</w:t>
      </w:r>
      <w:r w:rsidRPr="00E74AF6">
        <w:rPr>
          <w:b/>
        </w:rPr>
        <w:t> mld. Kč</w:t>
      </w:r>
      <w:r w:rsidRPr="00E74AF6">
        <w:rPr>
          <w:bCs/>
        </w:rPr>
        <w:t>. Struktura jiných činností se dlouhodobě nemění, neboť účinné právní předpisy ZP umožňují pouze omezený rozsah vlastních aktivit. Těmi jsou především pronájmy nevyužitých nebytových prostor a zprostředkování prodeje komerčního pojištění. Zisky po zdanění z těchto činností využívají ZP v souladu s právními předpisy a rozhodnutími správních rad na posilování fondů v. z. p.</w:t>
      </w:r>
    </w:p>
    <w:p w14:paraId="77E1A844" w14:textId="30B9A934" w:rsidR="00D573C8" w:rsidRDefault="00D573C8" w:rsidP="00D573C8">
      <w:pPr>
        <w:spacing w:before="120" w:after="120" w:line="276" w:lineRule="auto"/>
        <w:jc w:val="both"/>
        <w:rPr>
          <w:bCs/>
        </w:rPr>
      </w:pPr>
      <w:r w:rsidRPr="004872A7">
        <w:rPr>
          <w:b/>
        </w:rPr>
        <w:t>Průměrné celkové příjmy na jednoho pojištěnce</w:t>
      </w:r>
      <w:r w:rsidRPr="004872A7">
        <w:rPr>
          <w:bCs/>
          <w:vertAlign w:val="superscript"/>
        </w:rPr>
        <w:footnoteReference w:id="2"/>
      </w:r>
      <w:r w:rsidRPr="004872A7">
        <w:rPr>
          <w:bCs/>
          <w:vertAlign w:val="superscript"/>
        </w:rPr>
        <w:t xml:space="preserve"> </w:t>
      </w:r>
      <w:r w:rsidRPr="004872A7">
        <w:rPr>
          <w:bCs/>
        </w:rPr>
        <w:t>v roce </w:t>
      </w:r>
      <w:r w:rsidR="003C1970" w:rsidRPr="004872A7">
        <w:rPr>
          <w:bCs/>
        </w:rPr>
        <w:t>202</w:t>
      </w:r>
      <w:r w:rsidR="00C755F4">
        <w:rPr>
          <w:bCs/>
        </w:rPr>
        <w:t>3</w:t>
      </w:r>
      <w:r w:rsidR="009A4541" w:rsidRPr="004872A7">
        <w:rPr>
          <w:bCs/>
        </w:rPr>
        <w:t xml:space="preserve"> </w:t>
      </w:r>
      <w:r w:rsidRPr="004872A7">
        <w:rPr>
          <w:bCs/>
        </w:rPr>
        <w:t xml:space="preserve">dosáhly částky </w:t>
      </w:r>
      <w:r w:rsidR="00E74AF6" w:rsidRPr="004872A7">
        <w:rPr>
          <w:b/>
        </w:rPr>
        <w:t>43 029</w:t>
      </w:r>
      <w:r w:rsidR="00D26016" w:rsidRPr="004872A7" w:rsidDel="00D26016">
        <w:rPr>
          <w:b/>
        </w:rPr>
        <w:t xml:space="preserve"> </w:t>
      </w:r>
      <w:r w:rsidRPr="004872A7">
        <w:rPr>
          <w:b/>
        </w:rPr>
        <w:t xml:space="preserve">Kč </w:t>
      </w:r>
      <w:r w:rsidRPr="004872A7">
        <w:rPr>
          <w:bCs/>
        </w:rPr>
        <w:t>(meziroční nárůst o </w:t>
      </w:r>
      <w:r w:rsidR="00E74AF6" w:rsidRPr="004872A7">
        <w:rPr>
          <w:bCs/>
        </w:rPr>
        <w:t>7,9</w:t>
      </w:r>
      <w:r w:rsidR="00D4194C" w:rsidRPr="004872A7">
        <w:rPr>
          <w:bCs/>
        </w:rPr>
        <w:t> </w:t>
      </w:r>
      <w:r w:rsidRPr="004872A7">
        <w:rPr>
          <w:bCs/>
        </w:rPr>
        <w:t xml:space="preserve">%). Nejvyšší příjmy vykázala VZP ČR v hodnotě </w:t>
      </w:r>
      <w:r w:rsidR="004872A7" w:rsidRPr="004872A7">
        <w:rPr>
          <w:bCs/>
        </w:rPr>
        <w:t>44 836 Kč</w:t>
      </w:r>
      <w:r w:rsidRPr="004872A7">
        <w:rPr>
          <w:bCs/>
        </w:rPr>
        <w:t xml:space="preserve"> s meziročním zvýšením o </w:t>
      </w:r>
      <w:r w:rsidR="004872A7" w:rsidRPr="004872A7">
        <w:rPr>
          <w:bCs/>
        </w:rPr>
        <w:t>7,5</w:t>
      </w:r>
      <w:r w:rsidR="00FE7096" w:rsidRPr="004872A7">
        <w:rPr>
          <w:bCs/>
        </w:rPr>
        <w:t xml:space="preserve"> </w:t>
      </w:r>
      <w:r w:rsidRPr="004872A7">
        <w:rPr>
          <w:bCs/>
        </w:rPr>
        <w:t xml:space="preserve">%, nejnižší příjmy vykázala </w:t>
      </w:r>
      <w:r w:rsidR="004872A7" w:rsidRPr="004872A7">
        <w:rPr>
          <w:bCs/>
        </w:rPr>
        <w:t>O</w:t>
      </w:r>
      <w:r w:rsidR="00F7368F" w:rsidRPr="004872A7">
        <w:rPr>
          <w:bCs/>
        </w:rPr>
        <w:t xml:space="preserve">ZP </w:t>
      </w:r>
      <w:r w:rsidRPr="004872A7">
        <w:rPr>
          <w:bCs/>
        </w:rPr>
        <w:t xml:space="preserve">ve výši </w:t>
      </w:r>
      <w:r w:rsidR="004872A7" w:rsidRPr="004872A7">
        <w:rPr>
          <w:bCs/>
        </w:rPr>
        <w:t>39 006</w:t>
      </w:r>
      <w:r w:rsidR="00D26016" w:rsidRPr="004872A7" w:rsidDel="00D26016">
        <w:rPr>
          <w:bCs/>
        </w:rPr>
        <w:t xml:space="preserve"> </w:t>
      </w:r>
      <w:r w:rsidR="00C755F4">
        <w:rPr>
          <w:bCs/>
        </w:rPr>
        <w:t>Kč s meziročním nárůstem o 7,9 %.</w:t>
      </w:r>
    </w:p>
    <w:p w14:paraId="305AFBBA" w14:textId="42CA32BC" w:rsidR="004872A7" w:rsidRDefault="004872A7" w:rsidP="00D573C8">
      <w:pPr>
        <w:spacing w:before="120" w:after="120" w:line="276" w:lineRule="auto"/>
        <w:jc w:val="both"/>
        <w:rPr>
          <w:bCs/>
        </w:rPr>
      </w:pPr>
    </w:p>
    <w:p w14:paraId="21ABD670" w14:textId="58FFE016" w:rsidR="008B64B1" w:rsidRDefault="00D573C8" w:rsidP="00D573C8">
      <w:pPr>
        <w:pStyle w:val="TABOBR"/>
        <w:spacing w:before="120" w:after="120"/>
        <w:rPr>
          <w:rFonts w:cstheme="minorBidi"/>
          <w:b w:val="0"/>
          <w:sz w:val="22"/>
          <w:lang w:eastAsia="en-US"/>
        </w:rPr>
      </w:pPr>
      <w:bookmarkStart w:id="10" w:name="_Toc168993227"/>
      <w:r w:rsidRPr="00EF7A8E">
        <w:rPr>
          <w:color w:val="1F497D" w:themeColor="text2"/>
        </w:rPr>
        <w:t xml:space="preserve">Tabulka č. </w:t>
      </w:r>
      <w:r w:rsidRPr="00EF7A8E">
        <w:rPr>
          <w:noProof/>
          <w:color w:val="1F497D" w:themeColor="text2"/>
        </w:rPr>
        <w:fldChar w:fldCharType="begin"/>
      </w:r>
      <w:r w:rsidRPr="00EF7A8E">
        <w:rPr>
          <w:noProof/>
          <w:color w:val="1F497D" w:themeColor="text2"/>
        </w:rPr>
        <w:instrText xml:space="preserve"> SEQ Tabulka \* ARABIC </w:instrText>
      </w:r>
      <w:r w:rsidRPr="00EF7A8E">
        <w:rPr>
          <w:noProof/>
          <w:color w:val="1F497D" w:themeColor="text2"/>
        </w:rPr>
        <w:fldChar w:fldCharType="separate"/>
      </w:r>
      <w:r w:rsidR="00904274" w:rsidRPr="00EF7A8E">
        <w:rPr>
          <w:noProof/>
          <w:color w:val="1F497D" w:themeColor="text2"/>
        </w:rPr>
        <w:t>2</w:t>
      </w:r>
      <w:r w:rsidRPr="00EF7A8E">
        <w:rPr>
          <w:noProof/>
          <w:color w:val="1F497D" w:themeColor="text2"/>
        </w:rPr>
        <w:fldChar w:fldCharType="end"/>
      </w:r>
      <w:r w:rsidRPr="00EF7A8E">
        <w:rPr>
          <w:color w:val="1F497D" w:themeColor="text2"/>
        </w:rPr>
        <w:t xml:space="preserve">: Příjmy systému v. z. p. </w:t>
      </w:r>
      <w:r w:rsidR="006F6F24" w:rsidRPr="00EF7A8E">
        <w:rPr>
          <w:color w:val="1F497D" w:themeColor="text2"/>
        </w:rPr>
        <w:t>202</w:t>
      </w:r>
      <w:r w:rsidR="004872A7" w:rsidRPr="00EF7A8E">
        <w:rPr>
          <w:color w:val="1F497D" w:themeColor="text2"/>
        </w:rPr>
        <w:t>3</w:t>
      </w:r>
      <w:r w:rsidR="006F6F24" w:rsidRPr="00EF7A8E">
        <w:rPr>
          <w:color w:val="1F497D" w:themeColor="text2"/>
        </w:rPr>
        <w:t xml:space="preserve"> </w:t>
      </w:r>
      <w:r w:rsidRPr="00EF7A8E">
        <w:rPr>
          <w:color w:val="1F497D" w:themeColor="text2"/>
        </w:rPr>
        <w:t>dle zdravotních pojišťoven</w:t>
      </w:r>
      <w:bookmarkEnd w:id="10"/>
      <w:r w:rsidR="004872A7">
        <w:fldChar w:fldCharType="begin"/>
      </w:r>
      <w:r w:rsidR="004872A7">
        <w:instrText xml:space="preserve"> LINK </w:instrText>
      </w:r>
      <w:r w:rsidR="008B64B1">
        <w:instrText xml:space="preserve">Excel.Sheet.12 C:\\Users\\13135\\Desktop\\ZDR\\VZ2018-23\\2023\\Tabulková_část_2023_VZfinal.xlsx "TAB 1 OBR 1!R22C4:R28C11" </w:instrText>
      </w:r>
      <w:r w:rsidR="004872A7">
        <w:instrText xml:space="preserve">\a \f 4 \h </w:instrText>
      </w:r>
      <w:r w:rsidR="00863BE7">
        <w:instrText xml:space="preserve"> \* MERGEFORMAT </w:instrText>
      </w:r>
      <w:r w:rsidR="004872A7">
        <w:fldChar w:fldCharType="separate"/>
      </w:r>
    </w:p>
    <w:tbl>
      <w:tblPr>
        <w:tblW w:w="0" w:type="auto"/>
        <w:tblCellMar>
          <w:left w:w="70" w:type="dxa"/>
          <w:right w:w="70" w:type="dxa"/>
        </w:tblCellMar>
        <w:tblLook w:val="04A0" w:firstRow="1" w:lastRow="0" w:firstColumn="1" w:lastColumn="0" w:noHBand="0" w:noVBand="1"/>
      </w:tblPr>
      <w:tblGrid>
        <w:gridCol w:w="2889"/>
        <w:gridCol w:w="925"/>
        <w:gridCol w:w="976"/>
        <w:gridCol w:w="991"/>
        <w:gridCol w:w="964"/>
        <w:gridCol w:w="964"/>
        <w:gridCol w:w="965"/>
        <w:gridCol w:w="964"/>
      </w:tblGrid>
      <w:tr w:rsidR="008B64B1" w:rsidRPr="005A6578" w14:paraId="2D1AAA8A" w14:textId="77777777" w:rsidTr="00A77A44">
        <w:trPr>
          <w:divId w:val="1534270809"/>
          <w:trHeight w:val="270"/>
        </w:trPr>
        <w:tc>
          <w:tcPr>
            <w:tcW w:w="2980" w:type="dxa"/>
            <w:tcBorders>
              <w:top w:val="nil"/>
              <w:left w:val="nil"/>
              <w:bottom w:val="nil"/>
              <w:right w:val="nil"/>
            </w:tcBorders>
            <w:shd w:val="clear" w:color="auto" w:fill="auto"/>
            <w:noWrap/>
            <w:vAlign w:val="bottom"/>
            <w:hideMark/>
          </w:tcPr>
          <w:p w14:paraId="69958C19" w14:textId="41CAF1D2" w:rsidR="008B64B1" w:rsidRPr="005A6578" w:rsidRDefault="008B64B1" w:rsidP="008B64B1">
            <w:pPr>
              <w:rPr>
                <w:rFonts w:ascii="Times New Roman" w:eastAsia="Times New Roman" w:hAnsi="Times New Roman" w:cs="Times New Roman"/>
                <w:sz w:val="24"/>
                <w:szCs w:val="24"/>
                <w:lang w:eastAsia="cs-CZ"/>
              </w:rPr>
            </w:pPr>
          </w:p>
        </w:tc>
        <w:tc>
          <w:tcPr>
            <w:tcW w:w="6943" w:type="dxa"/>
            <w:gridSpan w:val="7"/>
            <w:tcBorders>
              <w:top w:val="nil"/>
              <w:left w:val="nil"/>
              <w:bottom w:val="single" w:sz="12" w:space="0" w:color="4F81BD"/>
              <w:right w:val="nil"/>
            </w:tcBorders>
            <w:shd w:val="clear" w:color="auto" w:fill="auto"/>
            <w:noWrap/>
            <w:vAlign w:val="bottom"/>
            <w:hideMark/>
          </w:tcPr>
          <w:p w14:paraId="292C8C9A" w14:textId="77777777" w:rsidR="008B64B1" w:rsidRPr="005A6578" w:rsidRDefault="008B64B1" w:rsidP="005A6578">
            <w:pPr>
              <w:spacing w:after="0" w:line="240" w:lineRule="auto"/>
              <w:jc w:val="center"/>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2023</w:t>
            </w:r>
          </w:p>
        </w:tc>
      </w:tr>
      <w:tr w:rsidR="00904274" w:rsidRPr="005A6578" w14:paraId="6AE14FD2" w14:textId="77777777" w:rsidTr="00A77A44">
        <w:trPr>
          <w:divId w:val="1534270809"/>
          <w:trHeight w:val="290"/>
        </w:trPr>
        <w:tc>
          <w:tcPr>
            <w:tcW w:w="2980" w:type="dxa"/>
            <w:tcBorders>
              <w:top w:val="single" w:sz="12" w:space="0" w:color="4F81BD"/>
              <w:left w:val="single" w:sz="12" w:space="0" w:color="4F81BD"/>
              <w:bottom w:val="nil"/>
              <w:right w:val="nil"/>
            </w:tcBorders>
            <w:shd w:val="clear" w:color="000000" w:fill="4F81BD"/>
            <w:vAlign w:val="center"/>
            <w:hideMark/>
          </w:tcPr>
          <w:p w14:paraId="730D4B9E" w14:textId="77777777" w:rsidR="008B64B1" w:rsidRPr="005A6578" w:rsidRDefault="008B64B1" w:rsidP="005A6578">
            <w:pPr>
              <w:spacing w:after="0" w:line="240" w:lineRule="auto"/>
              <w:rPr>
                <w:rFonts w:ascii="Calibri" w:eastAsia="Times New Roman" w:hAnsi="Calibri" w:cs="Calibri"/>
                <w:b/>
                <w:bCs/>
                <w:color w:val="FFFFFF"/>
                <w:szCs w:val="21"/>
                <w:lang w:eastAsia="cs-CZ"/>
              </w:rPr>
            </w:pPr>
            <w:r w:rsidRPr="005A6578">
              <w:rPr>
                <w:rFonts w:ascii="Calibri" w:eastAsia="Times New Roman" w:hAnsi="Calibri" w:cs="Calibri"/>
                <w:b/>
                <w:bCs/>
                <w:color w:val="FFFFFF"/>
                <w:szCs w:val="21"/>
                <w:lang w:eastAsia="cs-CZ"/>
              </w:rPr>
              <w:t xml:space="preserve"> </w:t>
            </w:r>
            <w:r w:rsidRPr="005A6578">
              <w:rPr>
                <w:rFonts w:ascii="Calibri" w:eastAsia="Times New Roman" w:hAnsi="Calibri" w:cs="Calibri"/>
                <w:b/>
                <w:bCs/>
                <w:i/>
                <w:iCs/>
                <w:color w:val="FFFFFF"/>
                <w:szCs w:val="21"/>
                <w:lang w:eastAsia="cs-CZ"/>
              </w:rPr>
              <w:t>(v mil. Kč)</w:t>
            </w:r>
          </w:p>
        </w:tc>
        <w:tc>
          <w:tcPr>
            <w:tcW w:w="951" w:type="dxa"/>
            <w:tcBorders>
              <w:top w:val="nil"/>
              <w:left w:val="nil"/>
              <w:bottom w:val="nil"/>
              <w:right w:val="nil"/>
            </w:tcBorders>
            <w:shd w:val="clear" w:color="000000" w:fill="6691C6"/>
            <w:noWrap/>
            <w:vAlign w:val="center"/>
            <w:hideMark/>
          </w:tcPr>
          <w:p w14:paraId="601AE448" w14:textId="77777777" w:rsidR="008B64B1" w:rsidRPr="005A6578" w:rsidRDefault="008B64B1" w:rsidP="005A6578">
            <w:pPr>
              <w:spacing w:after="0" w:line="240" w:lineRule="auto"/>
              <w:jc w:val="center"/>
              <w:rPr>
                <w:rFonts w:ascii="Calibri" w:eastAsia="Times New Roman" w:hAnsi="Calibri" w:cs="Calibri"/>
                <w:b/>
                <w:bCs/>
                <w:color w:val="FFFFFF"/>
                <w:sz w:val="20"/>
                <w:szCs w:val="20"/>
                <w:lang w:eastAsia="cs-CZ"/>
              </w:rPr>
            </w:pPr>
            <w:r w:rsidRPr="005A6578">
              <w:rPr>
                <w:rFonts w:ascii="Calibri" w:eastAsia="Times New Roman" w:hAnsi="Calibri" w:cs="Calibri"/>
                <w:b/>
                <w:bCs/>
                <w:color w:val="FFFFFF"/>
                <w:sz w:val="20"/>
                <w:szCs w:val="20"/>
                <w:lang w:eastAsia="cs-CZ"/>
              </w:rPr>
              <w:t>VZP ČR</w:t>
            </w:r>
          </w:p>
        </w:tc>
        <w:tc>
          <w:tcPr>
            <w:tcW w:w="1004" w:type="dxa"/>
            <w:tcBorders>
              <w:top w:val="nil"/>
              <w:left w:val="nil"/>
              <w:bottom w:val="nil"/>
              <w:right w:val="nil"/>
            </w:tcBorders>
            <w:shd w:val="clear" w:color="000000" w:fill="4F81BD"/>
            <w:noWrap/>
            <w:vAlign w:val="center"/>
            <w:hideMark/>
          </w:tcPr>
          <w:p w14:paraId="02B48FFA" w14:textId="77777777" w:rsidR="008B64B1" w:rsidRPr="005A6578" w:rsidRDefault="008B64B1" w:rsidP="005A6578">
            <w:pPr>
              <w:spacing w:after="0" w:line="240" w:lineRule="auto"/>
              <w:jc w:val="center"/>
              <w:rPr>
                <w:rFonts w:ascii="Calibri" w:eastAsia="Times New Roman" w:hAnsi="Calibri" w:cs="Calibri"/>
                <w:b/>
                <w:bCs/>
                <w:color w:val="FFFFFF"/>
                <w:sz w:val="20"/>
                <w:szCs w:val="20"/>
                <w:lang w:eastAsia="cs-CZ"/>
              </w:rPr>
            </w:pPr>
            <w:r w:rsidRPr="005A6578">
              <w:rPr>
                <w:rFonts w:ascii="Calibri" w:eastAsia="Times New Roman" w:hAnsi="Calibri" w:cs="Calibri"/>
                <w:b/>
                <w:bCs/>
                <w:color w:val="FFFFFF"/>
                <w:sz w:val="20"/>
                <w:szCs w:val="20"/>
                <w:lang w:eastAsia="cs-CZ"/>
              </w:rPr>
              <w:t>VoZP ČR</w:t>
            </w:r>
          </w:p>
        </w:tc>
        <w:tc>
          <w:tcPr>
            <w:tcW w:w="1019" w:type="dxa"/>
            <w:tcBorders>
              <w:top w:val="nil"/>
              <w:left w:val="nil"/>
              <w:bottom w:val="nil"/>
              <w:right w:val="nil"/>
            </w:tcBorders>
            <w:shd w:val="clear" w:color="000000" w:fill="6691C6"/>
            <w:noWrap/>
            <w:vAlign w:val="center"/>
            <w:hideMark/>
          </w:tcPr>
          <w:p w14:paraId="640419EC" w14:textId="77777777" w:rsidR="008B64B1" w:rsidRPr="005A6578" w:rsidRDefault="008B64B1" w:rsidP="005A6578">
            <w:pPr>
              <w:spacing w:after="0" w:line="240" w:lineRule="auto"/>
              <w:jc w:val="center"/>
              <w:rPr>
                <w:rFonts w:ascii="Calibri" w:eastAsia="Times New Roman" w:hAnsi="Calibri" w:cs="Calibri"/>
                <w:b/>
                <w:bCs/>
                <w:color w:val="FFFFFF"/>
                <w:sz w:val="20"/>
                <w:szCs w:val="20"/>
                <w:lang w:eastAsia="cs-CZ"/>
              </w:rPr>
            </w:pPr>
            <w:r w:rsidRPr="005A6578">
              <w:rPr>
                <w:rFonts w:ascii="Calibri" w:eastAsia="Times New Roman" w:hAnsi="Calibri" w:cs="Calibri"/>
                <w:b/>
                <w:bCs/>
                <w:color w:val="FFFFFF"/>
                <w:sz w:val="20"/>
                <w:szCs w:val="20"/>
                <w:lang w:eastAsia="cs-CZ"/>
              </w:rPr>
              <w:t>ČPZP</w:t>
            </w:r>
          </w:p>
        </w:tc>
        <w:tc>
          <w:tcPr>
            <w:tcW w:w="992" w:type="dxa"/>
            <w:tcBorders>
              <w:top w:val="nil"/>
              <w:left w:val="nil"/>
              <w:bottom w:val="nil"/>
              <w:right w:val="nil"/>
            </w:tcBorders>
            <w:shd w:val="clear" w:color="000000" w:fill="4F81BD"/>
            <w:vAlign w:val="center"/>
            <w:hideMark/>
          </w:tcPr>
          <w:p w14:paraId="0C63641B" w14:textId="77777777" w:rsidR="008B64B1" w:rsidRPr="005A6578" w:rsidRDefault="008B64B1" w:rsidP="005A6578">
            <w:pPr>
              <w:spacing w:after="0" w:line="240" w:lineRule="auto"/>
              <w:jc w:val="center"/>
              <w:rPr>
                <w:rFonts w:ascii="Calibri" w:eastAsia="Times New Roman" w:hAnsi="Calibri" w:cs="Calibri"/>
                <w:b/>
                <w:bCs/>
                <w:color w:val="FFFFFF"/>
                <w:sz w:val="20"/>
                <w:szCs w:val="20"/>
                <w:lang w:eastAsia="cs-CZ"/>
              </w:rPr>
            </w:pPr>
            <w:r w:rsidRPr="005A6578">
              <w:rPr>
                <w:rFonts w:ascii="Calibri" w:eastAsia="Times New Roman" w:hAnsi="Calibri" w:cs="Calibri"/>
                <w:b/>
                <w:bCs/>
                <w:color w:val="FFFFFF"/>
                <w:sz w:val="20"/>
                <w:szCs w:val="20"/>
                <w:lang w:eastAsia="cs-CZ"/>
              </w:rPr>
              <w:t>OZP</w:t>
            </w:r>
          </w:p>
        </w:tc>
        <w:tc>
          <w:tcPr>
            <w:tcW w:w="992" w:type="dxa"/>
            <w:tcBorders>
              <w:top w:val="nil"/>
              <w:left w:val="nil"/>
              <w:bottom w:val="nil"/>
              <w:right w:val="nil"/>
            </w:tcBorders>
            <w:shd w:val="clear" w:color="000000" w:fill="6691C6"/>
            <w:vAlign w:val="center"/>
            <w:hideMark/>
          </w:tcPr>
          <w:p w14:paraId="5C042378" w14:textId="77777777" w:rsidR="008B64B1" w:rsidRPr="005A6578" w:rsidRDefault="008B64B1" w:rsidP="005A6578">
            <w:pPr>
              <w:spacing w:after="0" w:line="240" w:lineRule="auto"/>
              <w:jc w:val="center"/>
              <w:rPr>
                <w:rFonts w:ascii="Calibri" w:eastAsia="Times New Roman" w:hAnsi="Calibri" w:cs="Calibri"/>
                <w:b/>
                <w:bCs/>
                <w:color w:val="FFFFFF"/>
                <w:sz w:val="20"/>
                <w:szCs w:val="20"/>
                <w:lang w:eastAsia="cs-CZ"/>
              </w:rPr>
            </w:pPr>
            <w:r w:rsidRPr="005A6578">
              <w:rPr>
                <w:rFonts w:ascii="Calibri" w:eastAsia="Times New Roman" w:hAnsi="Calibri" w:cs="Calibri"/>
                <w:b/>
                <w:bCs/>
                <w:color w:val="FFFFFF"/>
                <w:sz w:val="20"/>
                <w:szCs w:val="20"/>
                <w:lang w:eastAsia="cs-CZ"/>
              </w:rPr>
              <w:t>ZPŠ</w:t>
            </w:r>
          </w:p>
        </w:tc>
        <w:tc>
          <w:tcPr>
            <w:tcW w:w="993" w:type="dxa"/>
            <w:tcBorders>
              <w:top w:val="nil"/>
              <w:left w:val="nil"/>
              <w:bottom w:val="nil"/>
              <w:right w:val="nil"/>
            </w:tcBorders>
            <w:shd w:val="clear" w:color="000000" w:fill="4F81BD"/>
            <w:vAlign w:val="center"/>
            <w:hideMark/>
          </w:tcPr>
          <w:p w14:paraId="25D18D42" w14:textId="77777777" w:rsidR="008B64B1" w:rsidRPr="005A6578" w:rsidRDefault="008B64B1" w:rsidP="005A6578">
            <w:pPr>
              <w:spacing w:after="0" w:line="240" w:lineRule="auto"/>
              <w:jc w:val="center"/>
              <w:rPr>
                <w:rFonts w:ascii="Calibri" w:eastAsia="Times New Roman" w:hAnsi="Calibri" w:cs="Calibri"/>
                <w:b/>
                <w:bCs/>
                <w:color w:val="FFFFFF"/>
                <w:sz w:val="20"/>
                <w:szCs w:val="20"/>
                <w:lang w:eastAsia="cs-CZ"/>
              </w:rPr>
            </w:pPr>
            <w:r w:rsidRPr="005A6578">
              <w:rPr>
                <w:rFonts w:ascii="Calibri" w:eastAsia="Times New Roman" w:hAnsi="Calibri" w:cs="Calibri"/>
                <w:b/>
                <w:bCs/>
                <w:color w:val="FFFFFF"/>
                <w:sz w:val="20"/>
                <w:szCs w:val="20"/>
                <w:lang w:eastAsia="cs-CZ"/>
              </w:rPr>
              <w:t>ZP MV ČR</w:t>
            </w:r>
          </w:p>
        </w:tc>
        <w:tc>
          <w:tcPr>
            <w:tcW w:w="992" w:type="dxa"/>
            <w:tcBorders>
              <w:top w:val="nil"/>
              <w:left w:val="nil"/>
              <w:bottom w:val="nil"/>
              <w:right w:val="single" w:sz="12" w:space="0" w:color="4F81BD"/>
            </w:tcBorders>
            <w:shd w:val="clear" w:color="000000" w:fill="6691C6"/>
            <w:vAlign w:val="center"/>
            <w:hideMark/>
          </w:tcPr>
          <w:p w14:paraId="7324EE92" w14:textId="77777777" w:rsidR="008B64B1" w:rsidRPr="005A6578" w:rsidRDefault="008B64B1" w:rsidP="005A6578">
            <w:pPr>
              <w:spacing w:after="0" w:line="240" w:lineRule="auto"/>
              <w:jc w:val="center"/>
              <w:rPr>
                <w:rFonts w:ascii="Calibri" w:eastAsia="Times New Roman" w:hAnsi="Calibri" w:cs="Calibri"/>
                <w:b/>
                <w:bCs/>
                <w:color w:val="FFFFFF"/>
                <w:sz w:val="20"/>
                <w:szCs w:val="20"/>
                <w:lang w:eastAsia="cs-CZ"/>
              </w:rPr>
            </w:pPr>
            <w:r w:rsidRPr="005A6578">
              <w:rPr>
                <w:rFonts w:ascii="Calibri" w:eastAsia="Times New Roman" w:hAnsi="Calibri" w:cs="Calibri"/>
                <w:b/>
                <w:bCs/>
                <w:color w:val="FFFFFF"/>
                <w:sz w:val="20"/>
                <w:szCs w:val="20"/>
                <w:lang w:eastAsia="cs-CZ"/>
              </w:rPr>
              <w:t>RBP</w:t>
            </w:r>
          </w:p>
        </w:tc>
      </w:tr>
      <w:tr w:rsidR="00904274" w:rsidRPr="005A6578" w14:paraId="07B0860F" w14:textId="77777777" w:rsidTr="000B7C10">
        <w:trPr>
          <w:divId w:val="1534270809"/>
          <w:trHeight w:val="513"/>
        </w:trPr>
        <w:tc>
          <w:tcPr>
            <w:tcW w:w="2980" w:type="dxa"/>
            <w:tcBorders>
              <w:top w:val="nil"/>
              <w:left w:val="single" w:sz="12" w:space="0" w:color="4F81BD"/>
              <w:bottom w:val="nil"/>
              <w:right w:val="nil"/>
            </w:tcBorders>
            <w:shd w:val="clear" w:color="auto" w:fill="DBE5F1" w:themeFill="accent1" w:themeFillTint="33"/>
            <w:vAlign w:val="center"/>
            <w:hideMark/>
          </w:tcPr>
          <w:p w14:paraId="60C023FF" w14:textId="77777777" w:rsidR="008B64B1" w:rsidRPr="005A6578" w:rsidRDefault="008B64B1" w:rsidP="005A6578">
            <w:pPr>
              <w:spacing w:after="0" w:line="240" w:lineRule="auto"/>
              <w:rPr>
                <w:rFonts w:ascii="Calibri" w:eastAsia="Times New Roman" w:hAnsi="Calibri" w:cs="Calibri"/>
                <w:b/>
                <w:bCs/>
                <w:szCs w:val="21"/>
                <w:lang w:eastAsia="cs-CZ"/>
              </w:rPr>
            </w:pPr>
            <w:r w:rsidRPr="005A6578">
              <w:rPr>
                <w:rFonts w:ascii="Calibri" w:eastAsia="Times New Roman" w:hAnsi="Calibri" w:cs="Calibri"/>
                <w:b/>
                <w:bCs/>
                <w:szCs w:val="21"/>
                <w:lang w:eastAsia="cs-CZ"/>
              </w:rPr>
              <w:t>Příjmy celkem</w:t>
            </w:r>
          </w:p>
        </w:tc>
        <w:tc>
          <w:tcPr>
            <w:tcW w:w="951" w:type="dxa"/>
            <w:tcBorders>
              <w:top w:val="nil"/>
              <w:left w:val="nil"/>
              <w:bottom w:val="nil"/>
              <w:right w:val="nil"/>
            </w:tcBorders>
            <w:shd w:val="clear" w:color="auto" w:fill="DBE5F1" w:themeFill="accent1" w:themeFillTint="33"/>
            <w:noWrap/>
            <w:vAlign w:val="center"/>
            <w:hideMark/>
          </w:tcPr>
          <w:p w14:paraId="4631DF74"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276 190</w:t>
            </w:r>
          </w:p>
        </w:tc>
        <w:tc>
          <w:tcPr>
            <w:tcW w:w="1004" w:type="dxa"/>
            <w:tcBorders>
              <w:top w:val="nil"/>
              <w:left w:val="nil"/>
              <w:bottom w:val="nil"/>
              <w:right w:val="nil"/>
            </w:tcBorders>
            <w:shd w:val="clear" w:color="auto" w:fill="DBE5F1" w:themeFill="accent1" w:themeFillTint="33"/>
            <w:noWrap/>
            <w:vAlign w:val="center"/>
            <w:hideMark/>
          </w:tcPr>
          <w:p w14:paraId="02563B9D"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29 129</w:t>
            </w:r>
          </w:p>
        </w:tc>
        <w:tc>
          <w:tcPr>
            <w:tcW w:w="1019" w:type="dxa"/>
            <w:tcBorders>
              <w:top w:val="nil"/>
              <w:left w:val="nil"/>
              <w:bottom w:val="nil"/>
              <w:right w:val="nil"/>
            </w:tcBorders>
            <w:shd w:val="clear" w:color="auto" w:fill="DBE5F1" w:themeFill="accent1" w:themeFillTint="33"/>
            <w:noWrap/>
            <w:vAlign w:val="center"/>
            <w:hideMark/>
          </w:tcPr>
          <w:p w14:paraId="41399AAD"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51 888</w:t>
            </w:r>
          </w:p>
        </w:tc>
        <w:tc>
          <w:tcPr>
            <w:tcW w:w="992" w:type="dxa"/>
            <w:tcBorders>
              <w:top w:val="nil"/>
              <w:left w:val="nil"/>
              <w:bottom w:val="nil"/>
              <w:right w:val="nil"/>
            </w:tcBorders>
            <w:shd w:val="clear" w:color="auto" w:fill="DBE5F1" w:themeFill="accent1" w:themeFillTint="33"/>
            <w:noWrap/>
            <w:vAlign w:val="center"/>
            <w:hideMark/>
          </w:tcPr>
          <w:p w14:paraId="59EFB1DF"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29 768</w:t>
            </w:r>
          </w:p>
        </w:tc>
        <w:tc>
          <w:tcPr>
            <w:tcW w:w="992" w:type="dxa"/>
            <w:tcBorders>
              <w:top w:val="nil"/>
              <w:left w:val="nil"/>
              <w:bottom w:val="nil"/>
              <w:right w:val="nil"/>
            </w:tcBorders>
            <w:shd w:val="clear" w:color="auto" w:fill="DBE5F1" w:themeFill="accent1" w:themeFillTint="33"/>
            <w:noWrap/>
            <w:vAlign w:val="center"/>
            <w:hideMark/>
          </w:tcPr>
          <w:p w14:paraId="5B878C61"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6 063</w:t>
            </w:r>
          </w:p>
        </w:tc>
        <w:tc>
          <w:tcPr>
            <w:tcW w:w="993" w:type="dxa"/>
            <w:tcBorders>
              <w:top w:val="nil"/>
              <w:left w:val="nil"/>
              <w:bottom w:val="nil"/>
              <w:right w:val="nil"/>
            </w:tcBorders>
            <w:shd w:val="clear" w:color="auto" w:fill="DBE5F1" w:themeFill="accent1" w:themeFillTint="33"/>
            <w:noWrap/>
            <w:vAlign w:val="center"/>
            <w:hideMark/>
          </w:tcPr>
          <w:p w14:paraId="7A21534E"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57 043</w:t>
            </w:r>
          </w:p>
        </w:tc>
        <w:tc>
          <w:tcPr>
            <w:tcW w:w="992" w:type="dxa"/>
            <w:tcBorders>
              <w:top w:val="nil"/>
              <w:left w:val="nil"/>
              <w:bottom w:val="nil"/>
              <w:right w:val="single" w:sz="12" w:space="0" w:color="4F81BD"/>
            </w:tcBorders>
            <w:shd w:val="clear" w:color="auto" w:fill="DBE5F1" w:themeFill="accent1" w:themeFillTint="33"/>
            <w:noWrap/>
            <w:vAlign w:val="center"/>
            <w:hideMark/>
          </w:tcPr>
          <w:p w14:paraId="6B85D104"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17 441</w:t>
            </w:r>
          </w:p>
        </w:tc>
      </w:tr>
      <w:tr w:rsidR="008B64B1" w:rsidRPr="005A6578" w14:paraId="3060999C" w14:textId="77777777" w:rsidTr="000B7C10">
        <w:trPr>
          <w:divId w:val="1534270809"/>
          <w:trHeight w:val="513"/>
        </w:trPr>
        <w:tc>
          <w:tcPr>
            <w:tcW w:w="2980" w:type="dxa"/>
            <w:tcBorders>
              <w:top w:val="nil"/>
              <w:left w:val="single" w:sz="12" w:space="0" w:color="4F81BD"/>
              <w:bottom w:val="nil"/>
              <w:right w:val="nil"/>
            </w:tcBorders>
            <w:shd w:val="clear" w:color="auto" w:fill="auto"/>
            <w:vAlign w:val="center"/>
            <w:hideMark/>
          </w:tcPr>
          <w:p w14:paraId="1A13ADD1" w14:textId="176A1C07" w:rsidR="008B64B1" w:rsidRPr="005A6578" w:rsidRDefault="008B64B1" w:rsidP="005A6578">
            <w:pPr>
              <w:spacing w:after="0" w:line="240" w:lineRule="auto"/>
              <w:rPr>
                <w:rFonts w:ascii="Calibri" w:eastAsia="Times New Roman" w:hAnsi="Calibri" w:cs="Calibri"/>
                <w:szCs w:val="21"/>
                <w:lang w:eastAsia="cs-CZ"/>
              </w:rPr>
            </w:pPr>
            <w:r w:rsidRPr="005A6578">
              <w:rPr>
                <w:rFonts w:ascii="Calibri" w:eastAsia="Times New Roman" w:hAnsi="Calibri" w:cs="Calibri"/>
                <w:szCs w:val="21"/>
                <w:lang w:eastAsia="cs-CZ"/>
              </w:rPr>
              <w:t xml:space="preserve">Příjmy celkem </w:t>
            </w:r>
            <w:r w:rsidR="000B7C10">
              <w:rPr>
                <w:rFonts w:ascii="Calibri" w:eastAsia="Times New Roman" w:hAnsi="Calibri" w:cs="Calibri"/>
                <w:szCs w:val="21"/>
                <w:lang w:eastAsia="cs-CZ"/>
              </w:rPr>
              <w:br/>
            </w:r>
            <w:r w:rsidRPr="005A6578">
              <w:rPr>
                <w:rFonts w:ascii="Calibri" w:eastAsia="Times New Roman" w:hAnsi="Calibri" w:cs="Calibri"/>
                <w:szCs w:val="21"/>
                <w:lang w:eastAsia="cs-CZ"/>
              </w:rPr>
              <w:t>na 1 pojištěnce (v Kč)</w:t>
            </w:r>
          </w:p>
        </w:tc>
        <w:tc>
          <w:tcPr>
            <w:tcW w:w="951" w:type="dxa"/>
            <w:tcBorders>
              <w:top w:val="nil"/>
              <w:left w:val="nil"/>
              <w:bottom w:val="nil"/>
              <w:right w:val="nil"/>
            </w:tcBorders>
            <w:shd w:val="clear" w:color="000000" w:fill="DCE6F1"/>
            <w:noWrap/>
            <w:vAlign w:val="center"/>
            <w:hideMark/>
          </w:tcPr>
          <w:p w14:paraId="7FFFDF86"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44 836</w:t>
            </w:r>
          </w:p>
        </w:tc>
        <w:tc>
          <w:tcPr>
            <w:tcW w:w="1004" w:type="dxa"/>
            <w:tcBorders>
              <w:top w:val="nil"/>
              <w:left w:val="nil"/>
              <w:bottom w:val="nil"/>
              <w:right w:val="nil"/>
            </w:tcBorders>
            <w:shd w:val="clear" w:color="auto" w:fill="auto"/>
            <w:noWrap/>
            <w:vAlign w:val="center"/>
            <w:hideMark/>
          </w:tcPr>
          <w:p w14:paraId="162F0527"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41 191</w:t>
            </w:r>
          </w:p>
        </w:tc>
        <w:tc>
          <w:tcPr>
            <w:tcW w:w="1019" w:type="dxa"/>
            <w:tcBorders>
              <w:top w:val="nil"/>
              <w:left w:val="nil"/>
              <w:bottom w:val="nil"/>
              <w:right w:val="nil"/>
            </w:tcBorders>
            <w:shd w:val="clear" w:color="000000" w:fill="DCE6F1"/>
            <w:noWrap/>
            <w:vAlign w:val="center"/>
            <w:hideMark/>
          </w:tcPr>
          <w:p w14:paraId="24E56B2F"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39 569</w:t>
            </w:r>
          </w:p>
        </w:tc>
        <w:tc>
          <w:tcPr>
            <w:tcW w:w="992" w:type="dxa"/>
            <w:tcBorders>
              <w:top w:val="nil"/>
              <w:left w:val="nil"/>
              <w:bottom w:val="nil"/>
              <w:right w:val="nil"/>
            </w:tcBorders>
            <w:shd w:val="clear" w:color="auto" w:fill="auto"/>
            <w:noWrap/>
            <w:vAlign w:val="center"/>
            <w:hideMark/>
          </w:tcPr>
          <w:p w14:paraId="104D9E87"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39 006</w:t>
            </w:r>
          </w:p>
        </w:tc>
        <w:tc>
          <w:tcPr>
            <w:tcW w:w="992" w:type="dxa"/>
            <w:tcBorders>
              <w:top w:val="nil"/>
              <w:left w:val="nil"/>
              <w:bottom w:val="nil"/>
              <w:right w:val="nil"/>
            </w:tcBorders>
            <w:shd w:val="clear" w:color="000000" w:fill="DCE6F1"/>
            <w:noWrap/>
            <w:vAlign w:val="center"/>
            <w:hideMark/>
          </w:tcPr>
          <w:p w14:paraId="0CC75A37"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42 085</w:t>
            </w:r>
          </w:p>
        </w:tc>
        <w:tc>
          <w:tcPr>
            <w:tcW w:w="993" w:type="dxa"/>
            <w:tcBorders>
              <w:top w:val="nil"/>
              <w:left w:val="nil"/>
              <w:bottom w:val="nil"/>
              <w:right w:val="nil"/>
            </w:tcBorders>
            <w:shd w:val="clear" w:color="auto" w:fill="auto"/>
            <w:noWrap/>
            <w:vAlign w:val="center"/>
            <w:hideMark/>
          </w:tcPr>
          <w:p w14:paraId="56DCBA29"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42 218</w:t>
            </w:r>
          </w:p>
        </w:tc>
        <w:tc>
          <w:tcPr>
            <w:tcW w:w="992" w:type="dxa"/>
            <w:tcBorders>
              <w:top w:val="nil"/>
              <w:left w:val="nil"/>
              <w:bottom w:val="nil"/>
              <w:right w:val="single" w:sz="12" w:space="0" w:color="4F81BD"/>
            </w:tcBorders>
            <w:shd w:val="clear" w:color="000000" w:fill="DCE6F1"/>
            <w:noWrap/>
            <w:vAlign w:val="center"/>
            <w:hideMark/>
          </w:tcPr>
          <w:p w14:paraId="6CDE89FD"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40 712</w:t>
            </w:r>
          </w:p>
        </w:tc>
      </w:tr>
      <w:tr w:rsidR="00904274" w:rsidRPr="005A6578" w14:paraId="52E1D164" w14:textId="77777777" w:rsidTr="000B7C10">
        <w:trPr>
          <w:divId w:val="1534270809"/>
          <w:trHeight w:val="513"/>
        </w:trPr>
        <w:tc>
          <w:tcPr>
            <w:tcW w:w="2980" w:type="dxa"/>
            <w:tcBorders>
              <w:top w:val="nil"/>
              <w:left w:val="single" w:sz="12" w:space="0" w:color="4F81BD"/>
              <w:bottom w:val="nil"/>
              <w:right w:val="nil"/>
            </w:tcBorders>
            <w:shd w:val="clear" w:color="000000" w:fill="EEF3F8"/>
            <w:vAlign w:val="center"/>
            <w:hideMark/>
          </w:tcPr>
          <w:p w14:paraId="04F1C254" w14:textId="77777777" w:rsidR="008B64B1" w:rsidRPr="005A6578" w:rsidRDefault="008B64B1" w:rsidP="005A6578">
            <w:pPr>
              <w:spacing w:after="0" w:line="240" w:lineRule="auto"/>
              <w:rPr>
                <w:rFonts w:ascii="Calibri" w:eastAsia="Times New Roman" w:hAnsi="Calibri" w:cs="Calibri"/>
                <w:b/>
                <w:bCs/>
                <w:szCs w:val="21"/>
                <w:lang w:eastAsia="cs-CZ"/>
              </w:rPr>
            </w:pPr>
            <w:r w:rsidRPr="005A6578">
              <w:rPr>
                <w:rFonts w:ascii="Calibri" w:eastAsia="Times New Roman" w:hAnsi="Calibri" w:cs="Calibri"/>
                <w:b/>
                <w:bCs/>
                <w:szCs w:val="21"/>
                <w:lang w:eastAsia="cs-CZ"/>
              </w:rPr>
              <w:t>Pojistné po přerozdělování</w:t>
            </w:r>
          </w:p>
        </w:tc>
        <w:tc>
          <w:tcPr>
            <w:tcW w:w="951" w:type="dxa"/>
            <w:tcBorders>
              <w:top w:val="nil"/>
              <w:left w:val="nil"/>
              <w:bottom w:val="nil"/>
              <w:right w:val="nil"/>
            </w:tcBorders>
            <w:shd w:val="clear" w:color="000000" w:fill="EEF3F8"/>
            <w:noWrap/>
            <w:vAlign w:val="center"/>
            <w:hideMark/>
          </w:tcPr>
          <w:p w14:paraId="49B8BD06"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272 010</w:t>
            </w:r>
          </w:p>
        </w:tc>
        <w:tc>
          <w:tcPr>
            <w:tcW w:w="1004" w:type="dxa"/>
            <w:tcBorders>
              <w:top w:val="nil"/>
              <w:left w:val="nil"/>
              <w:bottom w:val="nil"/>
              <w:right w:val="nil"/>
            </w:tcBorders>
            <w:shd w:val="clear" w:color="000000" w:fill="EEF3F8"/>
            <w:noWrap/>
            <w:vAlign w:val="center"/>
            <w:hideMark/>
          </w:tcPr>
          <w:p w14:paraId="4F3864F9"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28 775</w:t>
            </w:r>
          </w:p>
        </w:tc>
        <w:tc>
          <w:tcPr>
            <w:tcW w:w="1019" w:type="dxa"/>
            <w:tcBorders>
              <w:top w:val="nil"/>
              <w:left w:val="nil"/>
              <w:bottom w:val="nil"/>
              <w:right w:val="nil"/>
            </w:tcBorders>
            <w:shd w:val="clear" w:color="000000" w:fill="EEF3F8"/>
            <w:noWrap/>
            <w:vAlign w:val="center"/>
            <w:hideMark/>
          </w:tcPr>
          <w:p w14:paraId="41867D79"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51 448</w:t>
            </w:r>
          </w:p>
        </w:tc>
        <w:tc>
          <w:tcPr>
            <w:tcW w:w="992" w:type="dxa"/>
            <w:tcBorders>
              <w:top w:val="nil"/>
              <w:left w:val="nil"/>
              <w:bottom w:val="nil"/>
              <w:right w:val="nil"/>
            </w:tcBorders>
            <w:shd w:val="clear" w:color="000000" w:fill="EEF3F8"/>
            <w:noWrap/>
            <w:vAlign w:val="center"/>
            <w:hideMark/>
          </w:tcPr>
          <w:p w14:paraId="5F885CB4"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29 601</w:t>
            </w:r>
          </w:p>
        </w:tc>
        <w:tc>
          <w:tcPr>
            <w:tcW w:w="992" w:type="dxa"/>
            <w:tcBorders>
              <w:top w:val="nil"/>
              <w:left w:val="nil"/>
              <w:bottom w:val="nil"/>
              <w:right w:val="nil"/>
            </w:tcBorders>
            <w:shd w:val="clear" w:color="000000" w:fill="EEF3F8"/>
            <w:noWrap/>
            <w:vAlign w:val="center"/>
            <w:hideMark/>
          </w:tcPr>
          <w:p w14:paraId="0D5945C0"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6 019</w:t>
            </w:r>
          </w:p>
        </w:tc>
        <w:tc>
          <w:tcPr>
            <w:tcW w:w="993" w:type="dxa"/>
            <w:tcBorders>
              <w:top w:val="nil"/>
              <w:left w:val="nil"/>
              <w:bottom w:val="nil"/>
              <w:right w:val="nil"/>
            </w:tcBorders>
            <w:shd w:val="clear" w:color="000000" w:fill="EEF3F8"/>
            <w:noWrap/>
            <w:vAlign w:val="center"/>
            <w:hideMark/>
          </w:tcPr>
          <w:p w14:paraId="34D5A0DB"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56 694</w:t>
            </w:r>
          </w:p>
        </w:tc>
        <w:tc>
          <w:tcPr>
            <w:tcW w:w="992" w:type="dxa"/>
            <w:tcBorders>
              <w:top w:val="nil"/>
              <w:left w:val="nil"/>
              <w:bottom w:val="nil"/>
              <w:right w:val="single" w:sz="12" w:space="0" w:color="4F81BD"/>
            </w:tcBorders>
            <w:shd w:val="clear" w:color="000000" w:fill="EEF3F8"/>
            <w:noWrap/>
            <w:vAlign w:val="center"/>
            <w:hideMark/>
          </w:tcPr>
          <w:p w14:paraId="0288BDB1" w14:textId="77777777" w:rsidR="008B64B1" w:rsidRPr="005A6578" w:rsidRDefault="008B64B1" w:rsidP="005A6578">
            <w:pPr>
              <w:spacing w:after="0" w:line="240" w:lineRule="auto"/>
              <w:jc w:val="right"/>
              <w:rPr>
                <w:rFonts w:ascii="Calibri" w:eastAsia="Times New Roman" w:hAnsi="Calibri" w:cs="Calibri"/>
                <w:b/>
                <w:bCs/>
                <w:sz w:val="20"/>
                <w:szCs w:val="20"/>
                <w:lang w:eastAsia="cs-CZ"/>
              </w:rPr>
            </w:pPr>
            <w:r w:rsidRPr="005A6578">
              <w:rPr>
                <w:rFonts w:ascii="Calibri" w:eastAsia="Times New Roman" w:hAnsi="Calibri" w:cs="Calibri"/>
                <w:b/>
                <w:bCs/>
                <w:sz w:val="20"/>
                <w:szCs w:val="20"/>
                <w:lang w:eastAsia="cs-CZ"/>
              </w:rPr>
              <w:t>17 343</w:t>
            </w:r>
          </w:p>
        </w:tc>
      </w:tr>
      <w:tr w:rsidR="008B64B1" w:rsidRPr="005A6578" w14:paraId="6C7848F0" w14:textId="77777777" w:rsidTr="000B7C10">
        <w:trPr>
          <w:divId w:val="1534270809"/>
          <w:trHeight w:val="513"/>
        </w:trPr>
        <w:tc>
          <w:tcPr>
            <w:tcW w:w="0" w:type="auto"/>
            <w:vMerge w:val="restart"/>
            <w:tcBorders>
              <w:top w:val="nil"/>
              <w:left w:val="single" w:sz="12" w:space="0" w:color="4F81BD"/>
              <w:bottom w:val="single" w:sz="12" w:space="0" w:color="4F81BD"/>
              <w:right w:val="nil"/>
            </w:tcBorders>
            <w:shd w:val="clear" w:color="auto" w:fill="auto"/>
            <w:vAlign w:val="center"/>
            <w:hideMark/>
          </w:tcPr>
          <w:p w14:paraId="3C2ADBF9" w14:textId="546C2B5F" w:rsidR="008B64B1" w:rsidRPr="005A6578" w:rsidRDefault="008B64B1" w:rsidP="005A6578">
            <w:pPr>
              <w:spacing w:after="0" w:line="240" w:lineRule="auto"/>
              <w:rPr>
                <w:rFonts w:ascii="Calibri" w:eastAsia="Times New Roman" w:hAnsi="Calibri" w:cs="Calibri"/>
                <w:szCs w:val="21"/>
                <w:lang w:eastAsia="cs-CZ"/>
              </w:rPr>
            </w:pPr>
            <w:r w:rsidRPr="005A6578">
              <w:rPr>
                <w:rFonts w:ascii="Calibri" w:eastAsia="Times New Roman" w:hAnsi="Calibri" w:cs="Calibri"/>
                <w:szCs w:val="21"/>
                <w:lang w:eastAsia="cs-CZ"/>
              </w:rPr>
              <w:t xml:space="preserve">Pojistné po přerozdělování </w:t>
            </w:r>
            <w:r w:rsidR="006F1458">
              <w:rPr>
                <w:rFonts w:ascii="Calibri" w:eastAsia="Times New Roman" w:hAnsi="Calibri" w:cs="Calibri"/>
                <w:szCs w:val="21"/>
                <w:lang w:eastAsia="cs-CZ"/>
              </w:rPr>
              <w:br/>
            </w:r>
            <w:r w:rsidRPr="005A6578">
              <w:rPr>
                <w:rFonts w:ascii="Calibri" w:eastAsia="Times New Roman" w:hAnsi="Calibri" w:cs="Calibri"/>
                <w:szCs w:val="21"/>
                <w:lang w:eastAsia="cs-CZ"/>
              </w:rPr>
              <w:t>na 1 pojištěnce (v Kč)</w:t>
            </w:r>
          </w:p>
        </w:tc>
        <w:tc>
          <w:tcPr>
            <w:tcW w:w="0" w:type="auto"/>
            <w:vMerge w:val="restart"/>
            <w:tcBorders>
              <w:top w:val="nil"/>
              <w:left w:val="nil"/>
              <w:bottom w:val="single" w:sz="12" w:space="0" w:color="4F81BD"/>
              <w:right w:val="nil"/>
            </w:tcBorders>
            <w:shd w:val="clear" w:color="000000" w:fill="DCE6F1"/>
            <w:noWrap/>
            <w:vAlign w:val="center"/>
            <w:hideMark/>
          </w:tcPr>
          <w:p w14:paraId="5345A67D"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44 158</w:t>
            </w:r>
          </w:p>
        </w:tc>
        <w:tc>
          <w:tcPr>
            <w:tcW w:w="0" w:type="auto"/>
            <w:vMerge w:val="restart"/>
            <w:tcBorders>
              <w:top w:val="nil"/>
              <w:left w:val="nil"/>
              <w:bottom w:val="single" w:sz="12" w:space="0" w:color="4F81BD"/>
              <w:right w:val="nil"/>
            </w:tcBorders>
            <w:shd w:val="clear" w:color="auto" w:fill="auto"/>
            <w:noWrap/>
            <w:vAlign w:val="center"/>
            <w:hideMark/>
          </w:tcPr>
          <w:p w14:paraId="3210EABE"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40 691</w:t>
            </w:r>
          </w:p>
        </w:tc>
        <w:tc>
          <w:tcPr>
            <w:tcW w:w="0" w:type="auto"/>
            <w:vMerge w:val="restart"/>
            <w:tcBorders>
              <w:top w:val="nil"/>
              <w:left w:val="nil"/>
              <w:bottom w:val="single" w:sz="12" w:space="0" w:color="4F81BD"/>
              <w:right w:val="nil"/>
            </w:tcBorders>
            <w:shd w:val="clear" w:color="000000" w:fill="DCE6F1"/>
            <w:noWrap/>
            <w:vAlign w:val="center"/>
            <w:hideMark/>
          </w:tcPr>
          <w:p w14:paraId="4E0A52FD"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39 234</w:t>
            </w:r>
          </w:p>
        </w:tc>
        <w:tc>
          <w:tcPr>
            <w:tcW w:w="0" w:type="auto"/>
            <w:vMerge w:val="restart"/>
            <w:tcBorders>
              <w:top w:val="nil"/>
              <w:left w:val="nil"/>
              <w:bottom w:val="single" w:sz="12" w:space="0" w:color="4F81BD"/>
              <w:right w:val="nil"/>
            </w:tcBorders>
            <w:shd w:val="clear" w:color="auto" w:fill="auto"/>
            <w:noWrap/>
            <w:vAlign w:val="center"/>
            <w:hideMark/>
          </w:tcPr>
          <w:p w14:paraId="7D1E9730"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38 788</w:t>
            </w:r>
          </w:p>
        </w:tc>
        <w:tc>
          <w:tcPr>
            <w:tcW w:w="0" w:type="auto"/>
            <w:vMerge w:val="restart"/>
            <w:tcBorders>
              <w:top w:val="nil"/>
              <w:left w:val="nil"/>
              <w:bottom w:val="single" w:sz="12" w:space="0" w:color="4F81BD"/>
              <w:right w:val="nil"/>
            </w:tcBorders>
            <w:shd w:val="clear" w:color="000000" w:fill="DCE6F1"/>
            <w:noWrap/>
            <w:vAlign w:val="center"/>
            <w:hideMark/>
          </w:tcPr>
          <w:p w14:paraId="199B0021"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41 776</w:t>
            </w:r>
          </w:p>
        </w:tc>
        <w:tc>
          <w:tcPr>
            <w:tcW w:w="0" w:type="auto"/>
            <w:vMerge w:val="restart"/>
            <w:tcBorders>
              <w:top w:val="nil"/>
              <w:left w:val="nil"/>
              <w:bottom w:val="single" w:sz="12" w:space="0" w:color="4F81BD"/>
              <w:right w:val="nil"/>
            </w:tcBorders>
            <w:shd w:val="clear" w:color="auto" w:fill="auto"/>
            <w:noWrap/>
            <w:vAlign w:val="center"/>
            <w:hideMark/>
          </w:tcPr>
          <w:p w14:paraId="6A60B6D8"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41 959</w:t>
            </w:r>
          </w:p>
        </w:tc>
        <w:tc>
          <w:tcPr>
            <w:tcW w:w="0" w:type="auto"/>
            <w:vMerge w:val="restart"/>
            <w:tcBorders>
              <w:top w:val="nil"/>
              <w:left w:val="nil"/>
              <w:bottom w:val="single" w:sz="12" w:space="0" w:color="4F81BD"/>
              <w:right w:val="single" w:sz="12" w:space="0" w:color="4F81BD"/>
            </w:tcBorders>
            <w:shd w:val="clear" w:color="000000" w:fill="DCE6F1"/>
            <w:noWrap/>
            <w:vAlign w:val="center"/>
            <w:hideMark/>
          </w:tcPr>
          <w:p w14:paraId="1B5379E7" w14:textId="77777777" w:rsidR="008B64B1" w:rsidRPr="005A6578" w:rsidRDefault="008B64B1" w:rsidP="005A6578">
            <w:pPr>
              <w:spacing w:after="0" w:line="240" w:lineRule="auto"/>
              <w:jc w:val="right"/>
              <w:rPr>
                <w:rFonts w:ascii="Calibri" w:eastAsia="Times New Roman" w:hAnsi="Calibri" w:cs="Calibri"/>
                <w:sz w:val="20"/>
                <w:szCs w:val="20"/>
                <w:lang w:eastAsia="cs-CZ"/>
              </w:rPr>
            </w:pPr>
            <w:r w:rsidRPr="005A6578">
              <w:rPr>
                <w:rFonts w:ascii="Calibri" w:eastAsia="Times New Roman" w:hAnsi="Calibri" w:cs="Calibri"/>
                <w:sz w:val="20"/>
                <w:szCs w:val="20"/>
                <w:lang w:eastAsia="cs-CZ"/>
              </w:rPr>
              <w:t>40 482</w:t>
            </w:r>
          </w:p>
        </w:tc>
      </w:tr>
      <w:tr w:rsidR="008B64B1" w:rsidRPr="005A6578" w14:paraId="3851FA60" w14:textId="77777777" w:rsidTr="000B7C10">
        <w:trPr>
          <w:divId w:val="1534270809"/>
          <w:trHeight w:val="513"/>
        </w:trPr>
        <w:tc>
          <w:tcPr>
            <w:tcW w:w="2980" w:type="dxa"/>
            <w:vMerge/>
            <w:tcBorders>
              <w:top w:val="nil"/>
              <w:left w:val="single" w:sz="12" w:space="0" w:color="4F81BD"/>
              <w:bottom w:val="single" w:sz="12" w:space="0" w:color="4F81BD"/>
              <w:right w:val="nil"/>
            </w:tcBorders>
            <w:vAlign w:val="center"/>
            <w:hideMark/>
          </w:tcPr>
          <w:p w14:paraId="5D931DF7" w14:textId="77777777" w:rsidR="008B64B1" w:rsidRPr="005A6578" w:rsidRDefault="008B64B1" w:rsidP="005A6578">
            <w:pPr>
              <w:spacing w:after="0" w:line="240" w:lineRule="auto"/>
              <w:rPr>
                <w:rFonts w:ascii="Calibri" w:eastAsia="Times New Roman" w:hAnsi="Calibri" w:cs="Calibri"/>
                <w:szCs w:val="21"/>
                <w:lang w:eastAsia="cs-CZ"/>
              </w:rPr>
            </w:pPr>
          </w:p>
        </w:tc>
        <w:tc>
          <w:tcPr>
            <w:tcW w:w="951" w:type="dxa"/>
            <w:vMerge/>
            <w:tcBorders>
              <w:top w:val="nil"/>
              <w:left w:val="nil"/>
              <w:bottom w:val="single" w:sz="12" w:space="0" w:color="4F81BD"/>
              <w:right w:val="nil"/>
            </w:tcBorders>
            <w:vAlign w:val="center"/>
            <w:hideMark/>
          </w:tcPr>
          <w:p w14:paraId="6FF17374" w14:textId="77777777" w:rsidR="008B64B1" w:rsidRPr="005A6578" w:rsidRDefault="008B64B1" w:rsidP="005A6578">
            <w:pPr>
              <w:spacing w:after="0" w:line="240" w:lineRule="auto"/>
              <w:rPr>
                <w:rFonts w:ascii="Calibri" w:eastAsia="Times New Roman" w:hAnsi="Calibri" w:cs="Calibri"/>
                <w:sz w:val="20"/>
                <w:szCs w:val="20"/>
                <w:lang w:eastAsia="cs-CZ"/>
              </w:rPr>
            </w:pPr>
          </w:p>
        </w:tc>
        <w:tc>
          <w:tcPr>
            <w:tcW w:w="1004" w:type="dxa"/>
            <w:vMerge/>
            <w:tcBorders>
              <w:top w:val="nil"/>
              <w:left w:val="nil"/>
              <w:bottom w:val="single" w:sz="12" w:space="0" w:color="4F81BD"/>
              <w:right w:val="nil"/>
            </w:tcBorders>
            <w:vAlign w:val="center"/>
            <w:hideMark/>
          </w:tcPr>
          <w:p w14:paraId="1CE72A78" w14:textId="77777777" w:rsidR="008B64B1" w:rsidRPr="005A6578" w:rsidRDefault="008B64B1" w:rsidP="005A6578">
            <w:pPr>
              <w:spacing w:after="0" w:line="240" w:lineRule="auto"/>
              <w:rPr>
                <w:rFonts w:ascii="Calibri" w:eastAsia="Times New Roman" w:hAnsi="Calibri" w:cs="Calibri"/>
                <w:sz w:val="20"/>
                <w:szCs w:val="20"/>
                <w:lang w:eastAsia="cs-CZ"/>
              </w:rPr>
            </w:pPr>
          </w:p>
        </w:tc>
        <w:tc>
          <w:tcPr>
            <w:tcW w:w="1019" w:type="dxa"/>
            <w:vMerge/>
            <w:tcBorders>
              <w:top w:val="nil"/>
              <w:left w:val="nil"/>
              <w:bottom w:val="single" w:sz="12" w:space="0" w:color="4F81BD"/>
              <w:right w:val="nil"/>
            </w:tcBorders>
            <w:vAlign w:val="center"/>
            <w:hideMark/>
          </w:tcPr>
          <w:p w14:paraId="6B5504D9" w14:textId="77777777" w:rsidR="008B64B1" w:rsidRPr="005A6578" w:rsidRDefault="008B64B1" w:rsidP="005A6578">
            <w:pPr>
              <w:spacing w:after="0" w:line="240" w:lineRule="auto"/>
              <w:rPr>
                <w:rFonts w:ascii="Calibri" w:eastAsia="Times New Roman" w:hAnsi="Calibri" w:cs="Calibri"/>
                <w:sz w:val="20"/>
                <w:szCs w:val="20"/>
                <w:lang w:eastAsia="cs-CZ"/>
              </w:rPr>
            </w:pPr>
          </w:p>
        </w:tc>
        <w:tc>
          <w:tcPr>
            <w:tcW w:w="992" w:type="dxa"/>
            <w:vMerge/>
            <w:tcBorders>
              <w:top w:val="nil"/>
              <w:left w:val="nil"/>
              <w:bottom w:val="single" w:sz="12" w:space="0" w:color="4F81BD"/>
              <w:right w:val="nil"/>
            </w:tcBorders>
            <w:vAlign w:val="center"/>
            <w:hideMark/>
          </w:tcPr>
          <w:p w14:paraId="37A7EF12" w14:textId="77777777" w:rsidR="008B64B1" w:rsidRPr="005A6578" w:rsidRDefault="008B64B1" w:rsidP="005A6578">
            <w:pPr>
              <w:spacing w:after="0" w:line="240" w:lineRule="auto"/>
              <w:rPr>
                <w:rFonts w:ascii="Calibri" w:eastAsia="Times New Roman" w:hAnsi="Calibri" w:cs="Calibri"/>
                <w:sz w:val="20"/>
                <w:szCs w:val="20"/>
                <w:lang w:eastAsia="cs-CZ"/>
              </w:rPr>
            </w:pPr>
          </w:p>
        </w:tc>
        <w:tc>
          <w:tcPr>
            <w:tcW w:w="992" w:type="dxa"/>
            <w:vMerge/>
            <w:tcBorders>
              <w:top w:val="nil"/>
              <w:left w:val="nil"/>
              <w:bottom w:val="single" w:sz="12" w:space="0" w:color="4F81BD"/>
              <w:right w:val="nil"/>
            </w:tcBorders>
            <w:vAlign w:val="center"/>
            <w:hideMark/>
          </w:tcPr>
          <w:p w14:paraId="408B514B" w14:textId="77777777" w:rsidR="008B64B1" w:rsidRPr="005A6578" w:rsidRDefault="008B64B1" w:rsidP="005A6578">
            <w:pPr>
              <w:spacing w:after="0" w:line="240" w:lineRule="auto"/>
              <w:rPr>
                <w:rFonts w:ascii="Calibri" w:eastAsia="Times New Roman" w:hAnsi="Calibri" w:cs="Calibri"/>
                <w:sz w:val="20"/>
                <w:szCs w:val="20"/>
                <w:lang w:eastAsia="cs-CZ"/>
              </w:rPr>
            </w:pPr>
          </w:p>
        </w:tc>
        <w:tc>
          <w:tcPr>
            <w:tcW w:w="993" w:type="dxa"/>
            <w:vMerge/>
            <w:tcBorders>
              <w:top w:val="nil"/>
              <w:left w:val="nil"/>
              <w:bottom w:val="single" w:sz="12" w:space="0" w:color="4F81BD"/>
              <w:right w:val="nil"/>
            </w:tcBorders>
            <w:vAlign w:val="center"/>
            <w:hideMark/>
          </w:tcPr>
          <w:p w14:paraId="3BBA7639" w14:textId="77777777" w:rsidR="008B64B1" w:rsidRPr="005A6578" w:rsidRDefault="008B64B1" w:rsidP="005A6578">
            <w:pPr>
              <w:spacing w:after="0" w:line="240" w:lineRule="auto"/>
              <w:rPr>
                <w:rFonts w:ascii="Calibri" w:eastAsia="Times New Roman" w:hAnsi="Calibri" w:cs="Calibri"/>
                <w:sz w:val="20"/>
                <w:szCs w:val="20"/>
                <w:lang w:eastAsia="cs-CZ"/>
              </w:rPr>
            </w:pPr>
          </w:p>
        </w:tc>
        <w:tc>
          <w:tcPr>
            <w:tcW w:w="992" w:type="dxa"/>
            <w:vMerge/>
            <w:tcBorders>
              <w:top w:val="nil"/>
              <w:left w:val="nil"/>
              <w:bottom w:val="single" w:sz="12" w:space="0" w:color="4F81BD"/>
              <w:right w:val="single" w:sz="12" w:space="0" w:color="4F81BD"/>
            </w:tcBorders>
            <w:vAlign w:val="center"/>
            <w:hideMark/>
          </w:tcPr>
          <w:p w14:paraId="7B564996" w14:textId="77777777" w:rsidR="008B64B1" w:rsidRPr="005A6578" w:rsidRDefault="008B64B1" w:rsidP="005A6578">
            <w:pPr>
              <w:spacing w:after="0" w:line="240" w:lineRule="auto"/>
              <w:rPr>
                <w:rFonts w:ascii="Calibri" w:eastAsia="Times New Roman" w:hAnsi="Calibri" w:cs="Calibri"/>
                <w:sz w:val="20"/>
                <w:szCs w:val="20"/>
                <w:lang w:eastAsia="cs-CZ"/>
              </w:rPr>
            </w:pPr>
          </w:p>
        </w:tc>
      </w:tr>
    </w:tbl>
    <w:p w14:paraId="6B3A85DF" w14:textId="02E12D7E" w:rsidR="004872A7" w:rsidRPr="004872A7" w:rsidRDefault="004872A7" w:rsidP="00D573C8">
      <w:pPr>
        <w:pStyle w:val="TABOBR"/>
        <w:spacing w:before="120" w:after="120"/>
      </w:pPr>
      <w:r>
        <w:fldChar w:fldCharType="end"/>
      </w:r>
    </w:p>
    <w:p w14:paraId="0577B012" w14:textId="4821E977" w:rsidR="00D573C8" w:rsidRPr="00A36740" w:rsidRDefault="00D573C8" w:rsidP="00D573C8">
      <w:pPr>
        <w:spacing w:before="180" w:line="276" w:lineRule="auto"/>
        <w:jc w:val="both"/>
        <w:rPr>
          <w:bCs/>
          <w:highlight w:val="yellow"/>
        </w:rPr>
      </w:pPr>
      <w:r w:rsidRPr="004872A7">
        <w:rPr>
          <w:bCs/>
        </w:rPr>
        <w:t xml:space="preserve">Příjmy jednotlivých ZP v různém členění a v meziročním porovnání včetně porovnání se zdravotně pojistnými plány (ZPP) na rok </w:t>
      </w:r>
      <w:r w:rsidR="006F6F24" w:rsidRPr="004872A7">
        <w:rPr>
          <w:bCs/>
        </w:rPr>
        <w:t>202</w:t>
      </w:r>
      <w:r w:rsidR="004872A7" w:rsidRPr="004872A7">
        <w:rPr>
          <w:bCs/>
        </w:rPr>
        <w:t>3</w:t>
      </w:r>
      <w:r w:rsidR="006F6F24" w:rsidRPr="004872A7">
        <w:rPr>
          <w:bCs/>
        </w:rPr>
        <w:t xml:space="preserve"> </w:t>
      </w:r>
      <w:r w:rsidRPr="004872A7">
        <w:rPr>
          <w:bCs/>
        </w:rPr>
        <w:t xml:space="preserve">podrobněji viz tabulková příloha </w:t>
      </w:r>
      <w:r w:rsidRPr="004872A7">
        <w:rPr>
          <w:bCs/>
          <w:i/>
          <w:iCs/>
        </w:rPr>
        <w:t>Tabulka č. 1, str. 2–3</w:t>
      </w:r>
      <w:r w:rsidRPr="004872A7">
        <w:rPr>
          <w:bCs/>
        </w:rPr>
        <w:t>. Vývoj</w:t>
      </w:r>
      <w:r w:rsidR="004872A7" w:rsidRPr="004872A7">
        <w:rPr>
          <w:bCs/>
        </w:rPr>
        <w:t xml:space="preserve"> příjmů systému v. z. p. 2020</w:t>
      </w:r>
      <w:r w:rsidRPr="004872A7">
        <w:rPr>
          <w:bCs/>
        </w:rPr>
        <w:t xml:space="preserve"> až </w:t>
      </w:r>
      <w:r w:rsidR="00643003" w:rsidRPr="004872A7">
        <w:rPr>
          <w:bCs/>
        </w:rPr>
        <w:t>202</w:t>
      </w:r>
      <w:r w:rsidR="004872A7" w:rsidRPr="004872A7">
        <w:rPr>
          <w:bCs/>
        </w:rPr>
        <w:t>3</w:t>
      </w:r>
      <w:r w:rsidR="00643003" w:rsidRPr="004872A7">
        <w:rPr>
          <w:bCs/>
        </w:rPr>
        <w:t xml:space="preserve"> </w:t>
      </w:r>
      <w:r w:rsidRPr="004872A7">
        <w:rPr>
          <w:bCs/>
        </w:rPr>
        <w:t xml:space="preserve">viz tabulková příloha </w:t>
      </w:r>
      <w:r w:rsidRPr="004872A7">
        <w:rPr>
          <w:bCs/>
          <w:i/>
          <w:iCs/>
        </w:rPr>
        <w:t>Tabulka č. 4</w:t>
      </w:r>
      <w:r w:rsidRPr="004872A7">
        <w:rPr>
          <w:bCs/>
        </w:rPr>
        <w:t xml:space="preserve">. </w:t>
      </w:r>
      <w:r w:rsidRPr="00A36740">
        <w:rPr>
          <w:bCs/>
          <w:highlight w:val="yellow"/>
        </w:rPr>
        <w:br w:type="page"/>
      </w:r>
    </w:p>
    <w:p w14:paraId="66F26F45" w14:textId="77777777" w:rsidR="00CB6113" w:rsidRPr="00FE13D3" w:rsidRDefault="00CB6113" w:rsidP="007327D1">
      <w:pPr>
        <w:pStyle w:val="Nadpis2"/>
      </w:pPr>
      <w:bookmarkStart w:id="11" w:name="_Toc72151507"/>
      <w:bookmarkStart w:id="12" w:name="_Toc169176573"/>
      <w:bookmarkStart w:id="13" w:name="_Toc41837519"/>
      <w:r w:rsidRPr="00FE13D3">
        <w:t>Výdaje</w:t>
      </w:r>
      <w:bookmarkEnd w:id="11"/>
      <w:bookmarkEnd w:id="12"/>
      <w:r w:rsidRPr="00FE13D3">
        <w:t xml:space="preserve"> </w:t>
      </w:r>
    </w:p>
    <w:p w14:paraId="7DA398E2" w14:textId="4576FCD2" w:rsidR="00CB6113" w:rsidRPr="00FE13D3" w:rsidRDefault="00CB6113" w:rsidP="00CB6113">
      <w:pPr>
        <w:spacing w:before="180" w:line="276" w:lineRule="auto"/>
        <w:jc w:val="both"/>
      </w:pPr>
      <w:r w:rsidRPr="00FE13D3">
        <w:rPr>
          <w:b/>
          <w:bCs/>
        </w:rPr>
        <w:t>Celkov</w:t>
      </w:r>
      <w:r w:rsidR="00FE13D3">
        <w:rPr>
          <w:b/>
          <w:bCs/>
        </w:rPr>
        <w:t>é výdaje systému v. z. p. v roce</w:t>
      </w:r>
      <w:r w:rsidRPr="00FE13D3">
        <w:rPr>
          <w:b/>
          <w:bCs/>
        </w:rPr>
        <w:t xml:space="preserve"> </w:t>
      </w:r>
      <w:r w:rsidR="00E60CB7" w:rsidRPr="00FE13D3">
        <w:rPr>
          <w:b/>
          <w:bCs/>
        </w:rPr>
        <w:t>202</w:t>
      </w:r>
      <w:r w:rsidR="00FE13D3">
        <w:rPr>
          <w:b/>
          <w:bCs/>
        </w:rPr>
        <w:t>3</w:t>
      </w:r>
      <w:r w:rsidR="00E60CB7" w:rsidRPr="00FE13D3">
        <w:rPr>
          <w:b/>
          <w:bCs/>
        </w:rPr>
        <w:t xml:space="preserve"> </w:t>
      </w:r>
      <w:r w:rsidRPr="00FE13D3">
        <w:t>(</w:t>
      </w:r>
      <w:r w:rsidRPr="00FE13D3">
        <w:rPr>
          <w:i/>
          <w:iCs/>
        </w:rPr>
        <w:t>Tabulka č. 3</w:t>
      </w:r>
      <w:r w:rsidRPr="00FE13D3">
        <w:t xml:space="preserve">) činily </w:t>
      </w:r>
      <w:r w:rsidR="00FE13D3" w:rsidRPr="00FE13D3">
        <w:rPr>
          <w:b/>
          <w:bCs/>
        </w:rPr>
        <w:t>469,2</w:t>
      </w:r>
      <w:r w:rsidR="007E7C87" w:rsidRPr="00FE13D3">
        <w:rPr>
          <w:b/>
          <w:bCs/>
        </w:rPr>
        <w:t xml:space="preserve"> </w:t>
      </w:r>
      <w:r w:rsidRPr="00FE13D3">
        <w:rPr>
          <w:b/>
          <w:bCs/>
        </w:rPr>
        <w:t>mld. Kč</w:t>
      </w:r>
      <w:r w:rsidRPr="00FE13D3">
        <w:t xml:space="preserve"> s meziročním nárůstem o </w:t>
      </w:r>
      <w:r w:rsidR="00FE13D3" w:rsidRPr="00FE13D3">
        <w:t>9,7</w:t>
      </w:r>
      <w:r w:rsidR="009A2B59" w:rsidRPr="00FE13D3">
        <w:t xml:space="preserve"> </w:t>
      </w:r>
      <w:r w:rsidRPr="00FE13D3">
        <w:t xml:space="preserve">% (absolutně o </w:t>
      </w:r>
      <w:r w:rsidR="00FE13D3" w:rsidRPr="00FE13D3">
        <w:t>41,5</w:t>
      </w:r>
      <w:r w:rsidR="009A2B59" w:rsidRPr="00FE13D3">
        <w:t xml:space="preserve"> </w:t>
      </w:r>
      <w:r w:rsidRPr="00FE13D3">
        <w:t xml:space="preserve">mld. Kč). </w:t>
      </w:r>
      <w:r w:rsidR="009A2B59" w:rsidRPr="00FE13D3">
        <w:t>Výdaje</w:t>
      </w:r>
      <w:r w:rsidR="007E7C87" w:rsidRPr="00FE13D3">
        <w:t xml:space="preserve"> ale</w:t>
      </w:r>
      <w:r w:rsidR="00FE13D3" w:rsidRPr="00FE13D3">
        <w:t xml:space="preserve"> byly nižší</w:t>
      </w:r>
      <w:r w:rsidR="009A2B59" w:rsidRPr="00FE13D3">
        <w:t xml:space="preserve"> v porovnání se </w:t>
      </w:r>
      <w:r w:rsidRPr="00FE13D3">
        <w:t xml:space="preserve">ZPP </w:t>
      </w:r>
      <w:r w:rsidR="009A2B59" w:rsidRPr="00FE13D3">
        <w:t>202</w:t>
      </w:r>
      <w:r w:rsidR="00FE13D3" w:rsidRPr="00FE13D3">
        <w:t>3</w:t>
      </w:r>
      <w:r w:rsidR="00595656" w:rsidRPr="00FE13D3">
        <w:t xml:space="preserve">, a to </w:t>
      </w:r>
      <w:r w:rsidRPr="00FE13D3">
        <w:t xml:space="preserve">o </w:t>
      </w:r>
      <w:r w:rsidR="00FE13D3" w:rsidRPr="00FE13D3">
        <w:t>0,5</w:t>
      </w:r>
      <w:r w:rsidR="00595656" w:rsidRPr="00FE13D3">
        <w:t xml:space="preserve"> </w:t>
      </w:r>
      <w:r w:rsidR="00FE13D3" w:rsidRPr="00FE13D3">
        <w:t>% (absolutně o 2,4</w:t>
      </w:r>
      <w:r w:rsidR="00595656" w:rsidRPr="00FE13D3">
        <w:t xml:space="preserve"> </w:t>
      </w:r>
      <w:r w:rsidRPr="00FE13D3">
        <w:t>mld. Kč), což</w:t>
      </w:r>
      <w:r w:rsidR="004100F6" w:rsidRPr="00FE13D3">
        <w:t> </w:t>
      </w:r>
      <w:r w:rsidR="00EF338E" w:rsidRPr="00FE13D3">
        <w:t>však ne</w:t>
      </w:r>
      <w:r w:rsidRPr="00FE13D3">
        <w:t xml:space="preserve">platí </w:t>
      </w:r>
      <w:r w:rsidR="00595656" w:rsidRPr="00FE13D3">
        <w:t>u všech</w:t>
      </w:r>
      <w:r w:rsidRPr="00FE13D3">
        <w:t xml:space="preserve"> zdravotních pojišťoven (</w:t>
      </w:r>
      <w:r w:rsidRPr="00FE13D3">
        <w:rPr>
          <w:i/>
          <w:iCs/>
        </w:rPr>
        <w:t>Graf č. 2</w:t>
      </w:r>
      <w:r w:rsidRPr="00FE13D3">
        <w:t xml:space="preserve">). </w:t>
      </w:r>
    </w:p>
    <w:p w14:paraId="082D08BF" w14:textId="73F64B3A" w:rsidR="00CB6113" w:rsidRPr="00E136AB" w:rsidRDefault="00CB6113" w:rsidP="00CB6113">
      <w:pPr>
        <w:spacing w:before="180" w:line="276" w:lineRule="auto"/>
        <w:jc w:val="both"/>
      </w:pPr>
      <w:r w:rsidRPr="00E136AB">
        <w:t xml:space="preserve">V přepočtu </w:t>
      </w:r>
      <w:r w:rsidRPr="00E136AB">
        <w:rPr>
          <w:b/>
          <w:bCs/>
        </w:rPr>
        <w:t xml:space="preserve">na jednoho pojištěnce </w:t>
      </w:r>
      <w:r w:rsidRPr="00E136AB">
        <w:t xml:space="preserve">byly celkové výdaje systému v. z. p. ve výši </w:t>
      </w:r>
      <w:r w:rsidR="00D47834" w:rsidRPr="00E136AB">
        <w:rPr>
          <w:b/>
          <w:bCs/>
        </w:rPr>
        <w:t>43 182</w:t>
      </w:r>
      <w:r w:rsidR="00F54ABE" w:rsidRPr="00E136AB" w:rsidDel="00F54ABE">
        <w:rPr>
          <w:b/>
          <w:bCs/>
        </w:rPr>
        <w:t xml:space="preserve"> </w:t>
      </w:r>
      <w:r w:rsidRPr="00E136AB">
        <w:rPr>
          <w:b/>
          <w:bCs/>
        </w:rPr>
        <w:t>Kč</w:t>
      </w:r>
      <w:r w:rsidRPr="00E136AB">
        <w:t xml:space="preserve"> (meziročně se </w:t>
      </w:r>
      <w:r w:rsidR="00D47834" w:rsidRPr="00E136AB">
        <w:t>zvýšily</w:t>
      </w:r>
      <w:r w:rsidR="00F54ABE" w:rsidRPr="00E136AB">
        <w:t xml:space="preserve"> </w:t>
      </w:r>
      <w:r w:rsidRPr="00E136AB">
        <w:t>o </w:t>
      </w:r>
      <w:r w:rsidR="00D47834" w:rsidRPr="00E136AB">
        <w:t>9,6</w:t>
      </w:r>
      <w:r w:rsidR="00CC1241" w:rsidRPr="00E136AB">
        <w:t> </w:t>
      </w:r>
      <w:r w:rsidRPr="00E136AB">
        <w:t xml:space="preserve">%). Nejvyšší výdaje celkem na jednoho pojištěnce měla </w:t>
      </w:r>
      <w:r w:rsidR="00D47834" w:rsidRPr="00E136AB">
        <w:t>VZP</w:t>
      </w:r>
      <w:r w:rsidR="006F1458">
        <w:t xml:space="preserve"> ČR</w:t>
      </w:r>
      <w:r w:rsidRPr="00E136AB">
        <w:t xml:space="preserve"> ve výši </w:t>
      </w:r>
      <w:r w:rsidR="00D47834" w:rsidRPr="00E136AB">
        <w:t>44 696</w:t>
      </w:r>
      <w:r w:rsidR="006F58CB" w:rsidRPr="00E136AB" w:rsidDel="006F58CB">
        <w:t xml:space="preserve"> </w:t>
      </w:r>
      <w:r w:rsidRPr="00E136AB">
        <w:t xml:space="preserve">Kč a nejnižší </w:t>
      </w:r>
      <w:r w:rsidR="004C7C76" w:rsidRPr="00E136AB">
        <w:t xml:space="preserve">ČPZP </w:t>
      </w:r>
      <w:r w:rsidRPr="00E136AB">
        <w:t xml:space="preserve">s částkou </w:t>
      </w:r>
      <w:r w:rsidR="00D47834" w:rsidRPr="00E136AB">
        <w:t>39</w:t>
      </w:r>
      <w:r w:rsidR="00820889" w:rsidRPr="00E136AB">
        <w:t> </w:t>
      </w:r>
      <w:r w:rsidR="00E136AB" w:rsidRPr="00E136AB">
        <w:t>847</w:t>
      </w:r>
      <w:r w:rsidR="00820889" w:rsidRPr="00E136AB">
        <w:t> </w:t>
      </w:r>
      <w:r w:rsidRPr="00E136AB">
        <w:t>Kč.</w:t>
      </w:r>
      <w:r w:rsidR="006F58CB" w:rsidRPr="00E136AB">
        <w:t xml:space="preserve"> </w:t>
      </w:r>
    </w:p>
    <w:p w14:paraId="42B53791" w14:textId="45E0F3A9" w:rsidR="00CB6113" w:rsidRPr="00A36740" w:rsidRDefault="00CB6113" w:rsidP="00CB6113">
      <w:pPr>
        <w:spacing w:before="180" w:line="276" w:lineRule="auto"/>
        <w:jc w:val="both"/>
        <w:rPr>
          <w:highlight w:val="yellow"/>
        </w:rPr>
      </w:pPr>
      <w:r w:rsidRPr="00106688">
        <w:rPr>
          <w:b/>
          <w:bCs/>
        </w:rPr>
        <w:t xml:space="preserve">Výdaje </w:t>
      </w:r>
      <w:r w:rsidRPr="00106688">
        <w:t xml:space="preserve">jsou charakterizovány realizací expanzivní vyhlášky č. </w:t>
      </w:r>
      <w:r w:rsidR="00106688" w:rsidRPr="00106688">
        <w:t>315/2022</w:t>
      </w:r>
      <w:r w:rsidR="006F58CB" w:rsidRPr="00106688" w:rsidDel="006F58CB">
        <w:t xml:space="preserve"> </w:t>
      </w:r>
      <w:r w:rsidRPr="00106688">
        <w:t>Sb.</w:t>
      </w:r>
      <w:r w:rsidR="00B05D68" w:rsidRPr="00106688">
        <w:t xml:space="preserve">, o stanovení hodnot bodu, výše úhrad hrazených služeb a </w:t>
      </w:r>
      <w:r w:rsidR="00E136AB" w:rsidRPr="00106688">
        <w:t>regulačních omezení pro rok 2023</w:t>
      </w:r>
      <w:r w:rsidR="00B05D68" w:rsidRPr="00106688">
        <w:t>.</w:t>
      </w:r>
      <w:r w:rsidR="005D3F2D" w:rsidRPr="00106688">
        <w:t xml:space="preserve"> </w:t>
      </w:r>
      <w:r w:rsidRPr="00106688">
        <w:t xml:space="preserve">Aplikované úhradové mechanismy je v daném roce možné sledovat </w:t>
      </w:r>
      <w:r w:rsidR="006F1458" w:rsidRPr="00106688">
        <w:t xml:space="preserve">především </w:t>
      </w:r>
      <w:r w:rsidRPr="00106688">
        <w:t>v akruálně vedených ukazatelích nákladů</w:t>
      </w:r>
      <w:r w:rsidRPr="00E136AB">
        <w:t xml:space="preserve"> na zdravotní služby (část </w:t>
      </w:r>
      <w:r w:rsidR="00C575F5" w:rsidRPr="00E136AB">
        <w:t>Zdravotní hodnocení</w:t>
      </w:r>
      <w:r w:rsidRPr="00E136AB">
        <w:t>), ale své dopady měly i</w:t>
      </w:r>
      <w:r w:rsidR="00B05D68" w:rsidRPr="00E136AB">
        <w:t> </w:t>
      </w:r>
      <w:r w:rsidRPr="00E136AB">
        <w:t xml:space="preserve">v </w:t>
      </w:r>
      <w:r w:rsidR="004B3CD9" w:rsidRPr="00E136AB">
        <w:t xml:space="preserve">ostatních </w:t>
      </w:r>
      <w:r w:rsidRPr="00E136AB">
        <w:t>výkazech</w:t>
      </w:r>
      <w:r w:rsidR="004B3CD9" w:rsidRPr="00E136AB">
        <w:t xml:space="preserve"> (především v oblasti závazkové a dohadných položek pasivních). </w:t>
      </w:r>
    </w:p>
    <w:p w14:paraId="1DF65973" w14:textId="6386794F" w:rsidR="008B64B1" w:rsidRPr="006F1458" w:rsidRDefault="00CB6113" w:rsidP="00D47834">
      <w:pPr>
        <w:rPr>
          <w:b/>
          <w:bCs/>
          <w:sz w:val="22"/>
        </w:rPr>
      </w:pPr>
      <w:bookmarkStart w:id="14" w:name="_Toc168993228"/>
      <w:r w:rsidRPr="00EF7A8E">
        <w:rPr>
          <w:b/>
          <w:bCs/>
          <w:color w:val="1F497D" w:themeColor="text2"/>
        </w:rPr>
        <w:t xml:space="preserve">Tabulka č. </w:t>
      </w:r>
      <w:r w:rsidRPr="00EF7A8E">
        <w:rPr>
          <w:b/>
          <w:bCs/>
          <w:noProof/>
          <w:color w:val="1F497D" w:themeColor="text2"/>
        </w:rPr>
        <w:fldChar w:fldCharType="begin"/>
      </w:r>
      <w:r w:rsidRPr="00EF7A8E">
        <w:rPr>
          <w:b/>
          <w:bCs/>
          <w:noProof/>
          <w:color w:val="1F497D" w:themeColor="text2"/>
        </w:rPr>
        <w:instrText xml:space="preserve"> SEQ Tabulka \* ARABIC </w:instrText>
      </w:r>
      <w:r w:rsidRPr="00EF7A8E">
        <w:rPr>
          <w:b/>
          <w:bCs/>
          <w:noProof/>
          <w:color w:val="1F497D" w:themeColor="text2"/>
        </w:rPr>
        <w:fldChar w:fldCharType="separate"/>
      </w:r>
      <w:r w:rsidR="00904274" w:rsidRPr="00EF7A8E">
        <w:rPr>
          <w:b/>
          <w:bCs/>
          <w:noProof/>
          <w:color w:val="1F497D" w:themeColor="text2"/>
        </w:rPr>
        <w:t>3</w:t>
      </w:r>
      <w:r w:rsidRPr="00EF7A8E">
        <w:rPr>
          <w:b/>
          <w:bCs/>
          <w:noProof/>
          <w:color w:val="1F497D" w:themeColor="text2"/>
        </w:rPr>
        <w:fldChar w:fldCharType="end"/>
      </w:r>
      <w:r w:rsidRPr="00EF7A8E">
        <w:rPr>
          <w:b/>
          <w:bCs/>
          <w:color w:val="1F497D" w:themeColor="text2"/>
        </w:rPr>
        <w:t xml:space="preserve">: Výdaje systému v. z. p. za rok </w:t>
      </w:r>
      <w:r w:rsidR="0030649E" w:rsidRPr="00EF7A8E">
        <w:rPr>
          <w:b/>
          <w:bCs/>
          <w:color w:val="1F497D" w:themeColor="text2"/>
        </w:rPr>
        <w:t>202</w:t>
      </w:r>
      <w:r w:rsidR="00D47834" w:rsidRPr="00EF7A8E">
        <w:rPr>
          <w:b/>
          <w:bCs/>
          <w:color w:val="1F497D" w:themeColor="text2"/>
        </w:rPr>
        <w:t>3</w:t>
      </w:r>
      <w:bookmarkEnd w:id="14"/>
      <w:r w:rsidR="00D47834">
        <w:rPr>
          <w:rFonts w:ascii="Calibri" w:eastAsiaTheme="minorEastAsia" w:hAnsi="Calibri"/>
          <w:b/>
          <w:bCs/>
          <w:color w:val="1F497D" w:themeColor="text2"/>
          <w:spacing w:val="6"/>
          <w:szCs w:val="21"/>
        </w:rPr>
        <w:fldChar w:fldCharType="begin"/>
      </w:r>
      <w:r w:rsidR="00D47834" w:rsidRPr="006F1458">
        <w:rPr>
          <w:b/>
          <w:bCs/>
        </w:rPr>
        <w:instrText xml:space="preserve"> LINK </w:instrText>
      </w:r>
      <w:r w:rsidR="008B64B1" w:rsidRPr="006F1458">
        <w:rPr>
          <w:b/>
          <w:bCs/>
        </w:rPr>
        <w:instrText xml:space="preserve">Excel.Sheet.12 C:\\Users\\13135\\Desktop\\ZDR\\VZ2018-23\\2023\\Tabulková_část_2023_VZfinal.xlsx "TAB 3 TAB 4 OBR 3!R14C14:R21C17" </w:instrText>
      </w:r>
      <w:r w:rsidR="00D47834" w:rsidRPr="006F1458">
        <w:rPr>
          <w:b/>
          <w:bCs/>
        </w:rPr>
        <w:instrText xml:space="preserve">\a \f 4 \h </w:instrText>
      </w:r>
      <w:r w:rsidR="00975534" w:rsidRPr="006F1458">
        <w:rPr>
          <w:b/>
          <w:bCs/>
        </w:rPr>
        <w:instrText xml:space="preserve"> \* MERGEFORMAT </w:instrText>
      </w:r>
      <w:r w:rsidR="00D47834">
        <w:rPr>
          <w:b/>
          <w:bCs/>
        </w:rPr>
        <w:fldChar w:fldCharType="separate"/>
      </w:r>
    </w:p>
    <w:p w14:paraId="419A6E69" w14:textId="2C5D3B53" w:rsidR="00975534" w:rsidRDefault="00D47834" w:rsidP="009E7D32">
      <w:pPr>
        <w:jc w:val="center"/>
        <w:rPr>
          <w:lang w:bidi="hi-IN"/>
        </w:rPr>
      </w:pPr>
      <w:r>
        <w:rPr>
          <w:lang w:bidi="hi-IN"/>
        </w:rPr>
        <w:fldChar w:fldCharType="end"/>
      </w:r>
      <w:r w:rsidR="00AA701C" w:rsidRPr="00AA701C">
        <w:rPr>
          <w:noProof/>
          <w:lang w:eastAsia="cs-CZ"/>
        </w:rPr>
        <w:drawing>
          <wp:inline distT="0" distB="0" distL="0" distR="0" wp14:anchorId="12B57338" wp14:editId="2B245853">
            <wp:extent cx="4013200" cy="1447800"/>
            <wp:effectExtent l="0" t="0" r="635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13200" cy="1447800"/>
                    </a:xfrm>
                    <a:prstGeom prst="rect">
                      <a:avLst/>
                    </a:prstGeom>
                    <a:noFill/>
                    <a:ln>
                      <a:noFill/>
                    </a:ln>
                  </pic:spPr>
                </pic:pic>
              </a:graphicData>
            </a:graphic>
          </wp:inline>
        </w:drawing>
      </w:r>
    </w:p>
    <w:p w14:paraId="60897FD6" w14:textId="701EB968" w:rsidR="00CB6113" w:rsidRPr="00A36740" w:rsidRDefault="00CB6113" w:rsidP="00975534">
      <w:pPr>
        <w:jc w:val="both"/>
        <w:rPr>
          <w:highlight w:val="yellow"/>
        </w:rPr>
      </w:pPr>
      <w:r w:rsidRPr="00106688">
        <w:t>Jako v případě příjmů i výdaje se analyticky člení do kategorií (</w:t>
      </w:r>
      <w:r w:rsidRPr="00106688">
        <w:rPr>
          <w:i/>
          <w:iCs/>
        </w:rPr>
        <w:t>Graf č. 3</w:t>
      </w:r>
      <w:r w:rsidRPr="00106688">
        <w:t xml:space="preserve">). Nejvýznamnější jsou </w:t>
      </w:r>
      <w:r w:rsidRPr="00106688">
        <w:rPr>
          <w:b/>
          <w:bCs/>
        </w:rPr>
        <w:t xml:space="preserve">výdaje na zdravotní služby </w:t>
      </w:r>
      <w:r w:rsidRPr="00106688">
        <w:t xml:space="preserve">ve výši </w:t>
      </w:r>
      <w:r w:rsidR="00106688" w:rsidRPr="00906798">
        <w:rPr>
          <w:b/>
          <w:bCs/>
        </w:rPr>
        <w:t>457</w:t>
      </w:r>
      <w:r w:rsidR="006F1458">
        <w:rPr>
          <w:b/>
          <w:bCs/>
        </w:rPr>
        <w:t>,0</w:t>
      </w:r>
      <w:r w:rsidR="0074039E" w:rsidRPr="00906798">
        <w:rPr>
          <w:b/>
          <w:bCs/>
        </w:rPr>
        <w:t xml:space="preserve"> </w:t>
      </w:r>
      <w:r w:rsidRPr="00906798">
        <w:rPr>
          <w:b/>
          <w:bCs/>
        </w:rPr>
        <w:t>mld. Kč</w:t>
      </w:r>
      <w:r w:rsidRPr="00906798">
        <w:rPr>
          <w:bCs/>
        </w:rPr>
        <w:t>, které</w:t>
      </w:r>
      <w:r w:rsidRPr="00906798">
        <w:t xml:space="preserve"> představovaly </w:t>
      </w:r>
      <w:r w:rsidR="002F3D5F" w:rsidRPr="00906798">
        <w:t>97,</w:t>
      </w:r>
      <w:r w:rsidR="00106688" w:rsidRPr="00906798">
        <w:t>4</w:t>
      </w:r>
      <w:r w:rsidR="002F3D5F" w:rsidRPr="00906798">
        <w:t xml:space="preserve"> </w:t>
      </w:r>
      <w:r w:rsidRPr="00906798">
        <w:t xml:space="preserve">% celkových výdajů s meziročním nárůstem </w:t>
      </w:r>
      <w:r w:rsidR="00106688" w:rsidRPr="00906798">
        <w:t>9,6</w:t>
      </w:r>
      <w:r w:rsidRPr="00906798">
        <w:t xml:space="preserve"> % (absolutně o </w:t>
      </w:r>
      <w:r w:rsidR="00C755F4" w:rsidRPr="00906798">
        <w:t>40</w:t>
      </w:r>
      <w:r w:rsidR="00C16944" w:rsidRPr="00906798">
        <w:t xml:space="preserve"> </w:t>
      </w:r>
      <w:r w:rsidRPr="00906798">
        <w:t xml:space="preserve">mld. Kč). Výdaje na zdravotní služby byly </w:t>
      </w:r>
      <w:r w:rsidR="00906798" w:rsidRPr="00906798">
        <w:t>však</w:t>
      </w:r>
      <w:r w:rsidR="00C16944" w:rsidRPr="00906798">
        <w:t xml:space="preserve"> </w:t>
      </w:r>
      <w:r w:rsidR="00797A53" w:rsidRPr="00906798">
        <w:t xml:space="preserve">nižší </w:t>
      </w:r>
      <w:r w:rsidRPr="00906798">
        <w:t xml:space="preserve">o </w:t>
      </w:r>
      <w:r w:rsidR="00906798" w:rsidRPr="00906798">
        <w:t>0,3</w:t>
      </w:r>
      <w:r w:rsidR="00C16944" w:rsidRPr="00906798">
        <w:t xml:space="preserve"> </w:t>
      </w:r>
      <w:r w:rsidRPr="00906798">
        <w:t xml:space="preserve">% </w:t>
      </w:r>
      <w:r w:rsidR="00C16944" w:rsidRPr="00906798">
        <w:t xml:space="preserve">(abs. </w:t>
      </w:r>
      <w:r w:rsidR="00780263" w:rsidRPr="00906798">
        <w:t>−</w:t>
      </w:r>
      <w:r w:rsidR="00906798" w:rsidRPr="00906798">
        <w:t>1,5</w:t>
      </w:r>
      <w:r w:rsidR="00C16944" w:rsidRPr="00906798">
        <w:t xml:space="preserve"> mld. Kč) </w:t>
      </w:r>
      <w:r w:rsidRPr="00906798">
        <w:t>ve srovnání se</w:t>
      </w:r>
      <w:r w:rsidR="004100F6" w:rsidRPr="00906798">
        <w:t> </w:t>
      </w:r>
      <w:r w:rsidRPr="00906798">
        <w:t xml:space="preserve">ZPP </w:t>
      </w:r>
      <w:r w:rsidR="00C16944" w:rsidRPr="00906798">
        <w:t>202</w:t>
      </w:r>
      <w:r w:rsidR="00C755F4" w:rsidRPr="00906798">
        <w:t>3</w:t>
      </w:r>
      <w:r w:rsidRPr="00906798">
        <w:t xml:space="preserve">. </w:t>
      </w:r>
    </w:p>
    <w:p w14:paraId="15FA2669" w14:textId="068C43F6" w:rsidR="00CB6113" w:rsidRPr="00C21303" w:rsidRDefault="00CB6113" w:rsidP="00CB6113">
      <w:pPr>
        <w:spacing w:before="180" w:line="276" w:lineRule="auto"/>
        <w:jc w:val="both"/>
      </w:pPr>
      <w:r w:rsidRPr="00C21303">
        <w:rPr>
          <w:b/>
        </w:rPr>
        <w:t>Průměrné výdaje na zdravotní služby</w:t>
      </w:r>
      <w:r w:rsidRPr="00C21303">
        <w:t xml:space="preserve"> přepočtené na jednoho pojištěnce dosáhly hodnoty </w:t>
      </w:r>
      <w:r w:rsidR="00C21303" w:rsidRPr="00C21303">
        <w:rPr>
          <w:b/>
          <w:bCs/>
        </w:rPr>
        <w:t>42 056</w:t>
      </w:r>
      <w:r w:rsidR="0074039E" w:rsidRPr="00C21303" w:rsidDel="0074039E">
        <w:rPr>
          <w:b/>
          <w:bCs/>
        </w:rPr>
        <w:t xml:space="preserve"> </w:t>
      </w:r>
      <w:r w:rsidRPr="00C21303">
        <w:rPr>
          <w:b/>
          <w:bCs/>
        </w:rPr>
        <w:t>Kč</w:t>
      </w:r>
      <w:r w:rsidRPr="00C21303">
        <w:t xml:space="preserve"> (nejvyšší u</w:t>
      </w:r>
      <w:r w:rsidR="004100F6" w:rsidRPr="00C21303">
        <w:t> </w:t>
      </w:r>
      <w:r w:rsidRPr="00C21303">
        <w:t xml:space="preserve">VZP ČR </w:t>
      </w:r>
      <w:r w:rsidR="00C21303" w:rsidRPr="00C21303">
        <w:t>43 525</w:t>
      </w:r>
      <w:r w:rsidR="0074039E" w:rsidRPr="00C21303" w:rsidDel="0074039E">
        <w:t xml:space="preserve"> </w:t>
      </w:r>
      <w:r w:rsidRPr="00C21303">
        <w:t xml:space="preserve">Kč a nejnižší u </w:t>
      </w:r>
      <w:r w:rsidR="00006682" w:rsidRPr="00C21303">
        <w:t xml:space="preserve">ČPZP </w:t>
      </w:r>
      <w:r w:rsidR="00C21303" w:rsidRPr="00C21303">
        <w:t>38 897</w:t>
      </w:r>
      <w:r w:rsidR="0074039E" w:rsidRPr="00C21303" w:rsidDel="0074039E">
        <w:t xml:space="preserve"> </w:t>
      </w:r>
      <w:r w:rsidRPr="00C21303">
        <w:t xml:space="preserve">Kč). Vykázané rozdíly ve výdajích za zdravotní služby mezi VZP ČR a skupinou ZZP byly ovlivněny nejen rozdílnou skladbou pojištěnců, ale také rozdílnými smluvními vztahy s poskytovateli zdravotních služeb (PZS) a cenovými dodatky. </w:t>
      </w:r>
      <w:r w:rsidR="006F1458">
        <w:t>Pod</w:t>
      </w:r>
      <w:r w:rsidRPr="00C21303">
        <w:t>le zákona č. 48/1997 Sb. zdravotní pojišťovny uzavírají s PZS smlouvy o poskytování a úhradě hrazených služeb. Zdravotní pojišťovny si mohou s PZS sjednat rozdílný způsob úhrady, výši úhrady a regulační omezení, a může tak docházet k rozdílům v úhradách jednotlivým PZS a k rozdílným výdajům mezi zdravotními pojišťovnami.</w:t>
      </w:r>
    </w:p>
    <w:p w14:paraId="38A052AD" w14:textId="5999DFE3" w:rsidR="00CB6113" w:rsidRPr="000D1E10" w:rsidRDefault="00CB6113" w:rsidP="00CB6113">
      <w:pPr>
        <w:spacing w:before="180" w:line="276" w:lineRule="auto"/>
        <w:jc w:val="both"/>
      </w:pPr>
      <w:r w:rsidRPr="000D1E10">
        <w:rPr>
          <w:b/>
          <w:bCs/>
        </w:rPr>
        <w:t>Provozní výdaje</w:t>
      </w:r>
      <w:r w:rsidRPr="000D1E10">
        <w:t xml:space="preserve"> v roce </w:t>
      </w:r>
      <w:r w:rsidR="00CC25C9" w:rsidRPr="000D1E10">
        <w:t>202</w:t>
      </w:r>
      <w:r w:rsidR="00066BE4">
        <w:t>3</w:t>
      </w:r>
      <w:r w:rsidR="00CC25C9" w:rsidRPr="000D1E10">
        <w:t xml:space="preserve"> </w:t>
      </w:r>
      <w:r w:rsidRPr="000D1E10">
        <w:t xml:space="preserve">byly vykázány ve výši </w:t>
      </w:r>
      <w:r w:rsidR="00C21303" w:rsidRPr="000D1E10">
        <w:rPr>
          <w:b/>
          <w:bCs/>
        </w:rPr>
        <w:t>8,9</w:t>
      </w:r>
      <w:r w:rsidR="0074039E" w:rsidRPr="000D1E10">
        <w:rPr>
          <w:b/>
          <w:bCs/>
        </w:rPr>
        <w:t xml:space="preserve"> </w:t>
      </w:r>
      <w:r w:rsidRPr="000D1E10">
        <w:rPr>
          <w:b/>
          <w:bCs/>
        </w:rPr>
        <w:t xml:space="preserve">mld. Kč </w:t>
      </w:r>
      <w:r w:rsidRPr="000D1E10">
        <w:rPr>
          <w:bCs/>
        </w:rPr>
        <w:t xml:space="preserve">(meziroční nárůst o </w:t>
      </w:r>
      <w:r w:rsidR="00510B95">
        <w:rPr>
          <w:bCs/>
        </w:rPr>
        <w:t>8,0</w:t>
      </w:r>
      <w:r w:rsidRPr="000D1E10">
        <w:rPr>
          <w:bCs/>
        </w:rPr>
        <w:t xml:space="preserve"> %</w:t>
      </w:r>
      <w:r w:rsidR="000D1E10" w:rsidRPr="000D1E10">
        <w:rPr>
          <w:bCs/>
        </w:rPr>
        <w:t>)</w:t>
      </w:r>
      <w:r w:rsidRPr="000D1E10">
        <w:rPr>
          <w:bCs/>
        </w:rPr>
        <w:t>, ve srovnání se</w:t>
      </w:r>
      <w:r w:rsidR="000D1E10">
        <w:rPr>
          <w:bCs/>
        </w:rPr>
        <w:t xml:space="preserve"> ZPP nižší</w:t>
      </w:r>
      <w:r w:rsidRPr="000D1E10">
        <w:rPr>
          <w:bCs/>
        </w:rPr>
        <w:t xml:space="preserve"> o </w:t>
      </w:r>
      <w:r w:rsidR="000D1E10" w:rsidRPr="000D1E10">
        <w:rPr>
          <w:bCs/>
        </w:rPr>
        <w:t>12,5</w:t>
      </w:r>
      <w:r w:rsidR="00CC25C9" w:rsidRPr="000D1E10">
        <w:rPr>
          <w:bCs/>
        </w:rPr>
        <w:t xml:space="preserve"> </w:t>
      </w:r>
      <w:r w:rsidRPr="000D1E10">
        <w:rPr>
          <w:bCs/>
        </w:rPr>
        <w:t>%)</w:t>
      </w:r>
      <w:r w:rsidRPr="000D1E10">
        <w:t xml:space="preserve">. Aktuální propočtené limity, limity zdravotně pojistných plánů a procenta jejich plnění viz tabulková příloha </w:t>
      </w:r>
      <w:r w:rsidRPr="000D1E10">
        <w:rPr>
          <w:i/>
          <w:iCs/>
        </w:rPr>
        <w:t>Tabulka č. 1a</w:t>
      </w:r>
      <w:r w:rsidRPr="000D1E10">
        <w:t xml:space="preserve">. Do provozních výdajů zdravotních pojišťoven byly zahrnuty např. mzdy včetně ostatních osobních nákladů, pojistné za zaměstnance na zdravotní a sociální pojištění, odměny členům statutárních orgánů, služby Kanceláře zdravotního pojištění, úhrady za vedení centrálního registru, nákup metodik atd. </w:t>
      </w:r>
    </w:p>
    <w:bookmarkEnd w:id="13"/>
    <w:p w14:paraId="55736134" w14:textId="1E60A4C5" w:rsidR="00CB6113" w:rsidRPr="00990939" w:rsidRDefault="00CB6113" w:rsidP="00CB6113">
      <w:pPr>
        <w:spacing w:before="180" w:line="276" w:lineRule="auto"/>
        <w:jc w:val="both"/>
      </w:pPr>
      <w:r w:rsidRPr="00990939">
        <w:rPr>
          <w:b/>
          <w:bCs/>
        </w:rPr>
        <w:t>Výdaje na investice</w:t>
      </w:r>
      <w:r w:rsidRPr="00990939">
        <w:t xml:space="preserve"> z fondu reprodukce majetku (FRM) dosáhly hodnoty cca </w:t>
      </w:r>
      <w:r w:rsidRPr="00990939">
        <w:rPr>
          <w:b/>
          <w:bCs/>
        </w:rPr>
        <w:t>0,</w:t>
      </w:r>
      <w:r w:rsidR="00313A37" w:rsidRPr="00990939">
        <w:rPr>
          <w:b/>
          <w:bCs/>
        </w:rPr>
        <w:t>7</w:t>
      </w:r>
      <w:r w:rsidR="00990939" w:rsidRPr="00990939">
        <w:rPr>
          <w:b/>
          <w:bCs/>
        </w:rPr>
        <w:t>3</w:t>
      </w:r>
      <w:r w:rsidR="00313A37" w:rsidRPr="00990939">
        <w:rPr>
          <w:b/>
          <w:bCs/>
        </w:rPr>
        <w:t xml:space="preserve"> </w:t>
      </w:r>
      <w:r w:rsidRPr="00990939">
        <w:rPr>
          <w:b/>
          <w:bCs/>
        </w:rPr>
        <w:t>mld. Kč</w:t>
      </w:r>
      <w:r w:rsidRPr="00990939">
        <w:t xml:space="preserve">, což činí </w:t>
      </w:r>
      <w:r w:rsidR="000D1E10" w:rsidRPr="00990939">
        <w:t>63,3</w:t>
      </w:r>
      <w:r w:rsidRPr="00990939">
        <w:t xml:space="preserve"> % z plánovaných investic (</w:t>
      </w:r>
      <w:r w:rsidR="00313A37" w:rsidRPr="00990939">
        <w:t>1</w:t>
      </w:r>
      <w:r w:rsidR="00990939" w:rsidRPr="00990939">
        <w:t>,15</w:t>
      </w:r>
      <w:r w:rsidRPr="00990939">
        <w:t xml:space="preserve"> mld. Kč), meziročně se jedná o stagnaci ukazatele. Nízké čerpání bývá zapříčiněno především přesunem realizace do dalšího období z důvodu špatného odhadu dé</w:t>
      </w:r>
      <w:r w:rsidR="00990939" w:rsidRPr="00990939">
        <w:t>lky přípravné fáze hlavně ICT investic</w:t>
      </w:r>
      <w:r w:rsidRPr="00990939">
        <w:t xml:space="preserve">. </w:t>
      </w:r>
    </w:p>
    <w:p w14:paraId="4664DC56" w14:textId="1069E8BD" w:rsidR="00CB6113" w:rsidRDefault="00CB6113" w:rsidP="00CB6113">
      <w:pPr>
        <w:pStyle w:val="Titulek"/>
      </w:pPr>
      <w:bookmarkStart w:id="15" w:name="_Toc106884096"/>
      <w:r w:rsidRPr="001D582A">
        <w:t xml:space="preserve">Graf č. </w:t>
      </w:r>
      <w:r w:rsidRPr="001D582A">
        <w:rPr>
          <w:noProof/>
        </w:rPr>
        <w:fldChar w:fldCharType="begin"/>
      </w:r>
      <w:r w:rsidRPr="001D582A">
        <w:rPr>
          <w:noProof/>
        </w:rPr>
        <w:instrText xml:space="preserve"> SEQ Graf \* ARABIC </w:instrText>
      </w:r>
      <w:r w:rsidRPr="001D582A">
        <w:rPr>
          <w:noProof/>
        </w:rPr>
        <w:fldChar w:fldCharType="separate"/>
      </w:r>
      <w:r w:rsidR="00904274">
        <w:rPr>
          <w:noProof/>
        </w:rPr>
        <w:t>2</w:t>
      </w:r>
      <w:r w:rsidRPr="001D582A">
        <w:rPr>
          <w:noProof/>
        </w:rPr>
        <w:fldChar w:fldCharType="end"/>
      </w:r>
      <w:r w:rsidRPr="001D582A">
        <w:t xml:space="preserve">: Porovnání skutečných výdajů </w:t>
      </w:r>
      <w:r w:rsidR="00F75470" w:rsidRPr="001D582A">
        <w:t>202</w:t>
      </w:r>
      <w:r w:rsidR="001D582A" w:rsidRPr="001D582A">
        <w:t>3</w:t>
      </w:r>
      <w:r w:rsidR="00F75470" w:rsidRPr="001D582A">
        <w:t xml:space="preserve"> </w:t>
      </w:r>
      <w:r w:rsidRPr="001D582A">
        <w:t xml:space="preserve">a ZPP </w:t>
      </w:r>
      <w:r w:rsidR="00F75470" w:rsidRPr="001D582A">
        <w:t>202</w:t>
      </w:r>
      <w:bookmarkEnd w:id="15"/>
      <w:r w:rsidR="001D582A" w:rsidRPr="001D582A">
        <w:t>3</w:t>
      </w:r>
    </w:p>
    <w:p w14:paraId="0E10A09D" w14:textId="4A986F13" w:rsidR="001D582A" w:rsidRPr="001D582A" w:rsidRDefault="001D582A" w:rsidP="001D582A">
      <w:pPr>
        <w:rPr>
          <w:lang w:bidi="hi-IN"/>
        </w:rPr>
      </w:pPr>
      <w:r>
        <w:rPr>
          <w:noProof/>
          <w:lang w:eastAsia="cs-CZ"/>
        </w:rPr>
        <w:drawing>
          <wp:inline distT="0" distB="0" distL="0" distR="0" wp14:anchorId="19D08277" wp14:editId="5A42AA9F">
            <wp:extent cx="5803900" cy="3572510"/>
            <wp:effectExtent l="0" t="0" r="6350" b="889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03900" cy="3572510"/>
                    </a:xfrm>
                    <a:prstGeom prst="rect">
                      <a:avLst/>
                    </a:prstGeom>
                    <a:noFill/>
                  </pic:spPr>
                </pic:pic>
              </a:graphicData>
            </a:graphic>
          </wp:inline>
        </w:drawing>
      </w:r>
    </w:p>
    <w:p w14:paraId="0A04D109" w14:textId="5E5E1426" w:rsidR="00776CEE" w:rsidRPr="00A36740" w:rsidRDefault="00776CEE" w:rsidP="00CB6113">
      <w:pPr>
        <w:spacing w:before="180" w:line="276" w:lineRule="auto"/>
        <w:jc w:val="both"/>
        <w:rPr>
          <w:highlight w:val="yellow"/>
        </w:rPr>
      </w:pPr>
    </w:p>
    <w:p w14:paraId="6A2A2DA7" w14:textId="05B43B8B" w:rsidR="00CB6113" w:rsidRPr="001D582A" w:rsidRDefault="00CB6113" w:rsidP="00CB6113">
      <w:pPr>
        <w:pStyle w:val="Titulek"/>
      </w:pPr>
      <w:bookmarkStart w:id="16" w:name="_Toc106884097"/>
      <w:r w:rsidRPr="001D582A">
        <w:t xml:space="preserve">Graf č. </w:t>
      </w:r>
      <w:r w:rsidRPr="001D582A">
        <w:rPr>
          <w:noProof/>
        </w:rPr>
        <w:fldChar w:fldCharType="begin"/>
      </w:r>
      <w:r w:rsidRPr="001D582A">
        <w:rPr>
          <w:noProof/>
        </w:rPr>
        <w:instrText xml:space="preserve"> SEQ Graf \* ARABIC </w:instrText>
      </w:r>
      <w:r w:rsidRPr="001D582A">
        <w:rPr>
          <w:noProof/>
        </w:rPr>
        <w:fldChar w:fldCharType="separate"/>
      </w:r>
      <w:r w:rsidR="00904274">
        <w:rPr>
          <w:noProof/>
        </w:rPr>
        <w:t>3</w:t>
      </w:r>
      <w:r w:rsidRPr="001D582A">
        <w:rPr>
          <w:noProof/>
        </w:rPr>
        <w:fldChar w:fldCharType="end"/>
      </w:r>
      <w:r w:rsidRPr="001D582A">
        <w:t xml:space="preserve">: Struktura výdajů celkem za rok </w:t>
      </w:r>
      <w:r w:rsidR="00F75470" w:rsidRPr="001D582A">
        <w:t>202</w:t>
      </w:r>
      <w:bookmarkEnd w:id="16"/>
      <w:r w:rsidR="001D582A" w:rsidRPr="001D582A">
        <w:t>3</w:t>
      </w:r>
    </w:p>
    <w:p w14:paraId="1F7A74AC" w14:textId="2098AD8B" w:rsidR="0068351E" w:rsidRPr="00A36740" w:rsidRDefault="001D582A" w:rsidP="0046208F">
      <w:pPr>
        <w:spacing w:before="180" w:line="276" w:lineRule="auto"/>
        <w:jc w:val="both"/>
        <w:rPr>
          <w:highlight w:val="yellow"/>
        </w:rPr>
      </w:pPr>
      <w:r>
        <w:rPr>
          <w:noProof/>
          <w:highlight w:val="yellow"/>
          <w:lang w:eastAsia="cs-CZ"/>
        </w:rPr>
        <w:drawing>
          <wp:inline distT="0" distB="0" distL="0" distR="0" wp14:anchorId="110FB823" wp14:editId="77D77B0E">
            <wp:extent cx="5907405" cy="3274060"/>
            <wp:effectExtent l="0" t="0" r="0" b="254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07405" cy="3274060"/>
                    </a:xfrm>
                    <a:prstGeom prst="rect">
                      <a:avLst/>
                    </a:prstGeom>
                    <a:noFill/>
                  </pic:spPr>
                </pic:pic>
              </a:graphicData>
            </a:graphic>
          </wp:inline>
        </w:drawing>
      </w:r>
    </w:p>
    <w:p w14:paraId="7905C21C" w14:textId="7E686AAE" w:rsidR="0046208F" w:rsidRPr="001B7505" w:rsidRDefault="001B7505" w:rsidP="0046208F">
      <w:pPr>
        <w:spacing w:before="180" w:line="276" w:lineRule="auto"/>
        <w:jc w:val="both"/>
      </w:pPr>
      <w:r w:rsidRPr="001B7505">
        <w:t>Dalšími</w:t>
      </w:r>
      <w:r w:rsidR="0046208F" w:rsidRPr="001B7505">
        <w:t xml:space="preserve"> položkami na straně výdajů pak byly </w:t>
      </w:r>
      <w:r w:rsidR="0046208F" w:rsidRPr="001B7505">
        <w:rPr>
          <w:b/>
        </w:rPr>
        <w:t xml:space="preserve">zálohy za cizince a specifické fondy VoZP ČR </w:t>
      </w:r>
      <w:r w:rsidR="0046208F" w:rsidRPr="001B7505">
        <w:t xml:space="preserve">v částce </w:t>
      </w:r>
      <w:r w:rsidRPr="001B7505">
        <w:rPr>
          <w:b/>
          <w:bCs/>
        </w:rPr>
        <w:t>2</w:t>
      </w:r>
      <w:r w:rsidR="00BA670D" w:rsidRPr="001B7505">
        <w:rPr>
          <w:b/>
          <w:bCs/>
        </w:rPr>
        <w:t>,</w:t>
      </w:r>
      <w:r w:rsidRPr="001B7505">
        <w:rPr>
          <w:b/>
          <w:bCs/>
        </w:rPr>
        <w:t>59</w:t>
      </w:r>
      <w:r w:rsidR="00CC1241" w:rsidRPr="001B7505">
        <w:rPr>
          <w:b/>
          <w:bCs/>
        </w:rPr>
        <w:t> </w:t>
      </w:r>
      <w:r w:rsidR="0046208F" w:rsidRPr="001B7505">
        <w:rPr>
          <w:b/>
          <w:bCs/>
        </w:rPr>
        <w:t xml:space="preserve">mld. Kč </w:t>
      </w:r>
      <w:r w:rsidR="0046208F" w:rsidRPr="001B7505">
        <w:t xml:space="preserve">s meziročním </w:t>
      </w:r>
      <w:r w:rsidRPr="001B7505">
        <w:t>růstem o 50,2</w:t>
      </w:r>
      <w:r w:rsidR="00BA670D" w:rsidRPr="001B7505">
        <w:t xml:space="preserve"> </w:t>
      </w:r>
      <w:r w:rsidRPr="001B7505">
        <w:t>%</w:t>
      </w:r>
      <w:r w:rsidR="0046208F" w:rsidRPr="001B7505">
        <w:t xml:space="preserve">. Mezi výdaje jsou pak zařazeny i </w:t>
      </w:r>
      <w:r w:rsidR="0046208F" w:rsidRPr="001B7505">
        <w:rPr>
          <w:b/>
        </w:rPr>
        <w:t xml:space="preserve">náklady na jinou činnost </w:t>
      </w:r>
      <w:r w:rsidR="0046208F" w:rsidRPr="001B7505">
        <w:t xml:space="preserve">v částce </w:t>
      </w:r>
      <w:r w:rsidR="00BA670D" w:rsidRPr="001B7505">
        <w:rPr>
          <w:b/>
          <w:bCs/>
        </w:rPr>
        <w:t>0,0</w:t>
      </w:r>
      <w:r w:rsidRPr="001B7505">
        <w:rPr>
          <w:b/>
          <w:bCs/>
        </w:rPr>
        <w:t>4</w:t>
      </w:r>
      <w:r w:rsidR="0046208F" w:rsidRPr="001B7505">
        <w:rPr>
          <w:b/>
          <w:bCs/>
        </w:rPr>
        <w:t xml:space="preserve"> mld. Kč</w:t>
      </w:r>
      <w:r w:rsidRPr="001B7505">
        <w:t>. U</w:t>
      </w:r>
      <w:r w:rsidR="00A54B63">
        <w:t> </w:t>
      </w:r>
      <w:r w:rsidRPr="001B7505">
        <w:t xml:space="preserve">nich došlo k </w:t>
      </w:r>
      <w:r w:rsidR="0046208F" w:rsidRPr="001B7505">
        <w:t xml:space="preserve">meziročnímu </w:t>
      </w:r>
      <w:r w:rsidRPr="001B7505">
        <w:t>poklesu</w:t>
      </w:r>
      <w:r w:rsidR="00BA670D" w:rsidRPr="001B7505">
        <w:t xml:space="preserve"> </w:t>
      </w:r>
      <w:r w:rsidR="0046208F" w:rsidRPr="001B7505">
        <w:t xml:space="preserve">o </w:t>
      </w:r>
      <w:r w:rsidRPr="001B7505">
        <w:t>21,5 %</w:t>
      </w:r>
      <w:r w:rsidR="0046208F" w:rsidRPr="001B7505">
        <w:t>.</w:t>
      </w:r>
      <w:r w:rsidR="00BA670D" w:rsidRPr="001B7505">
        <w:t xml:space="preserve"> </w:t>
      </w:r>
    </w:p>
    <w:p w14:paraId="6CF49BD0" w14:textId="77777777" w:rsidR="0046208F" w:rsidRPr="001B7505" w:rsidRDefault="0046208F" w:rsidP="0046208F">
      <w:pPr>
        <w:pStyle w:val="TABOBR"/>
        <w:spacing w:after="200" w:line="288" w:lineRule="auto"/>
        <w:rPr>
          <w:rFonts w:cstheme="minorBidi"/>
          <w:b w:val="0"/>
          <w:lang w:eastAsia="en-US"/>
        </w:rPr>
      </w:pPr>
      <w:r w:rsidRPr="001B7505">
        <w:rPr>
          <w:rFonts w:cstheme="minorBidi"/>
          <w:b w:val="0"/>
          <w:lang w:eastAsia="en-US"/>
        </w:rPr>
        <w:t>Ministerstvo financí pak dále sleduje řadu dalších veličin, z nichž jsou uvedeny „výdaje na vlastní činnost“</w:t>
      </w:r>
      <w:r w:rsidRPr="001B7505">
        <w:rPr>
          <w:rFonts w:cstheme="minorBidi"/>
          <w:b w:val="0"/>
          <w:vertAlign w:val="superscript"/>
          <w:lang w:eastAsia="en-US"/>
        </w:rPr>
        <w:footnoteReference w:id="3"/>
      </w:r>
      <w:r w:rsidRPr="001B7505">
        <w:rPr>
          <w:rFonts w:cstheme="minorBidi"/>
          <w:b w:val="0"/>
          <w:lang w:eastAsia="en-US"/>
        </w:rPr>
        <w:t xml:space="preserve"> a „výdaje na preventivní programy“</w:t>
      </w:r>
      <w:r w:rsidRPr="001B7505">
        <w:rPr>
          <w:rFonts w:cstheme="minorBidi"/>
          <w:b w:val="0"/>
          <w:vertAlign w:val="superscript"/>
          <w:lang w:eastAsia="en-US"/>
        </w:rPr>
        <w:footnoteReference w:id="4"/>
      </w:r>
      <w:r w:rsidRPr="001B7505">
        <w:rPr>
          <w:rFonts w:cstheme="minorBidi"/>
          <w:b w:val="0"/>
          <w:lang w:eastAsia="en-US"/>
        </w:rPr>
        <w:t>.</w:t>
      </w:r>
    </w:p>
    <w:p w14:paraId="7F0A6D46" w14:textId="16CA087A" w:rsidR="0046208F" w:rsidRDefault="0046208F" w:rsidP="0046208F">
      <w:pPr>
        <w:pStyle w:val="Titulek"/>
        <w:jc w:val="both"/>
      </w:pPr>
      <w:bookmarkStart w:id="17" w:name="_Toc168993229"/>
      <w:r w:rsidRPr="001B7505">
        <w:t xml:space="preserve">Tabulka č. </w:t>
      </w:r>
      <w:r w:rsidRPr="001B7505">
        <w:rPr>
          <w:noProof/>
        </w:rPr>
        <w:fldChar w:fldCharType="begin"/>
      </w:r>
      <w:r w:rsidRPr="001B7505">
        <w:rPr>
          <w:noProof/>
        </w:rPr>
        <w:instrText xml:space="preserve"> SEQ Tabulka \* ARABIC </w:instrText>
      </w:r>
      <w:r w:rsidRPr="001B7505">
        <w:rPr>
          <w:noProof/>
        </w:rPr>
        <w:fldChar w:fldCharType="separate"/>
      </w:r>
      <w:r w:rsidR="00904274">
        <w:rPr>
          <w:noProof/>
        </w:rPr>
        <w:t>4</w:t>
      </w:r>
      <w:r w:rsidRPr="001B7505">
        <w:rPr>
          <w:noProof/>
        </w:rPr>
        <w:fldChar w:fldCharType="end"/>
      </w:r>
      <w:r w:rsidRPr="001B7505">
        <w:t xml:space="preserve">: Výdaje systému v. z. p. </w:t>
      </w:r>
      <w:r w:rsidR="00BA670D" w:rsidRPr="001B7505">
        <w:t>202</w:t>
      </w:r>
      <w:r w:rsidR="001B7505" w:rsidRPr="001B7505">
        <w:t>3</w:t>
      </w:r>
      <w:r w:rsidR="00BA670D" w:rsidRPr="001B7505">
        <w:t xml:space="preserve"> </w:t>
      </w:r>
      <w:r w:rsidRPr="001B7505">
        <w:t>dle zdravotních pojišťoven</w:t>
      </w:r>
      <w:bookmarkEnd w:id="17"/>
    </w:p>
    <w:tbl>
      <w:tblPr>
        <w:tblpPr w:leftFromText="141" w:rightFromText="141" w:vertAnchor="text" w:horzAnchor="margin" w:tblpX="-157" w:tblpY="-13"/>
        <w:tblW w:w="9953" w:type="dxa"/>
        <w:tblCellMar>
          <w:left w:w="70" w:type="dxa"/>
          <w:right w:w="70" w:type="dxa"/>
        </w:tblCellMar>
        <w:tblLook w:val="04A0" w:firstRow="1" w:lastRow="0" w:firstColumn="1" w:lastColumn="0" w:noHBand="0" w:noVBand="1"/>
      </w:tblPr>
      <w:tblGrid>
        <w:gridCol w:w="3134"/>
        <w:gridCol w:w="993"/>
        <w:gridCol w:w="992"/>
        <w:gridCol w:w="992"/>
        <w:gridCol w:w="992"/>
        <w:gridCol w:w="993"/>
        <w:gridCol w:w="992"/>
        <w:gridCol w:w="865"/>
      </w:tblGrid>
      <w:tr w:rsidR="00EF7638" w:rsidRPr="00F815A4" w14:paraId="1F3A63BA" w14:textId="77777777" w:rsidTr="00EF7638">
        <w:trPr>
          <w:trHeight w:val="290"/>
        </w:trPr>
        <w:tc>
          <w:tcPr>
            <w:tcW w:w="3134" w:type="dxa"/>
            <w:tcBorders>
              <w:top w:val="single" w:sz="12" w:space="0" w:color="4F81BD"/>
              <w:left w:val="single" w:sz="12" w:space="0" w:color="4F81BD"/>
              <w:bottom w:val="nil"/>
              <w:right w:val="nil"/>
            </w:tcBorders>
            <w:shd w:val="clear" w:color="000000" w:fill="4F81BD"/>
            <w:vAlign w:val="center"/>
            <w:hideMark/>
          </w:tcPr>
          <w:p w14:paraId="79330C39" w14:textId="77777777" w:rsidR="00F815A4" w:rsidRPr="00F815A4" w:rsidRDefault="00F815A4" w:rsidP="00EF7638">
            <w:pPr>
              <w:spacing w:after="0" w:line="240" w:lineRule="auto"/>
              <w:rPr>
                <w:rFonts w:ascii="Calibri" w:eastAsia="Times New Roman" w:hAnsi="Calibri" w:cs="Calibri"/>
                <w:b/>
                <w:bCs/>
                <w:color w:val="FFFFFF"/>
                <w:szCs w:val="21"/>
                <w:lang w:eastAsia="cs-CZ"/>
              </w:rPr>
            </w:pPr>
            <w:r w:rsidRPr="00F815A4">
              <w:rPr>
                <w:rFonts w:ascii="Calibri" w:eastAsia="Times New Roman" w:hAnsi="Calibri" w:cs="Calibri"/>
                <w:b/>
                <w:bCs/>
                <w:color w:val="FFFFFF"/>
                <w:szCs w:val="21"/>
                <w:lang w:eastAsia="cs-CZ"/>
              </w:rPr>
              <w:t>VZ 2023</w:t>
            </w:r>
          </w:p>
        </w:tc>
        <w:tc>
          <w:tcPr>
            <w:tcW w:w="993" w:type="dxa"/>
            <w:vMerge w:val="restart"/>
            <w:tcBorders>
              <w:top w:val="single" w:sz="12" w:space="0" w:color="4F81BD"/>
              <w:left w:val="nil"/>
              <w:bottom w:val="nil"/>
              <w:right w:val="nil"/>
            </w:tcBorders>
            <w:shd w:val="clear" w:color="000000" w:fill="6691C6"/>
            <w:noWrap/>
            <w:vAlign w:val="center"/>
            <w:hideMark/>
          </w:tcPr>
          <w:p w14:paraId="3668D4B4" w14:textId="77777777" w:rsidR="00F815A4" w:rsidRPr="00F815A4" w:rsidRDefault="00F815A4" w:rsidP="00EF7638">
            <w:pPr>
              <w:spacing w:after="0" w:line="240" w:lineRule="auto"/>
              <w:jc w:val="center"/>
              <w:rPr>
                <w:rFonts w:ascii="Calibri" w:eastAsia="Times New Roman" w:hAnsi="Calibri" w:cs="Calibri"/>
                <w:b/>
                <w:bCs/>
                <w:color w:val="FFFFFF"/>
                <w:szCs w:val="21"/>
                <w:lang w:eastAsia="cs-CZ"/>
              </w:rPr>
            </w:pPr>
            <w:r w:rsidRPr="00F815A4">
              <w:rPr>
                <w:rFonts w:ascii="Calibri" w:eastAsia="Times New Roman" w:hAnsi="Calibri" w:cs="Calibri"/>
                <w:b/>
                <w:bCs/>
                <w:color w:val="FFFFFF"/>
                <w:szCs w:val="21"/>
                <w:lang w:eastAsia="cs-CZ"/>
              </w:rPr>
              <w:t>VZP ČR</w:t>
            </w:r>
          </w:p>
        </w:tc>
        <w:tc>
          <w:tcPr>
            <w:tcW w:w="992" w:type="dxa"/>
            <w:vMerge w:val="restart"/>
            <w:tcBorders>
              <w:top w:val="single" w:sz="12" w:space="0" w:color="4F81BD"/>
              <w:left w:val="nil"/>
              <w:bottom w:val="nil"/>
              <w:right w:val="nil"/>
            </w:tcBorders>
            <w:shd w:val="clear" w:color="000000" w:fill="4F81BD"/>
            <w:noWrap/>
            <w:vAlign w:val="center"/>
            <w:hideMark/>
          </w:tcPr>
          <w:p w14:paraId="6EB4C9BD" w14:textId="77777777" w:rsidR="00F815A4" w:rsidRPr="00F815A4" w:rsidRDefault="00F815A4" w:rsidP="00EF7638">
            <w:pPr>
              <w:spacing w:after="0" w:line="240" w:lineRule="auto"/>
              <w:jc w:val="center"/>
              <w:rPr>
                <w:rFonts w:ascii="Calibri" w:eastAsia="Times New Roman" w:hAnsi="Calibri" w:cs="Calibri"/>
                <w:b/>
                <w:bCs/>
                <w:color w:val="FFFFFF"/>
                <w:szCs w:val="21"/>
                <w:lang w:eastAsia="cs-CZ"/>
              </w:rPr>
            </w:pPr>
            <w:r w:rsidRPr="00F815A4">
              <w:rPr>
                <w:rFonts w:ascii="Calibri" w:eastAsia="Times New Roman" w:hAnsi="Calibri" w:cs="Calibri"/>
                <w:b/>
                <w:bCs/>
                <w:color w:val="FFFFFF"/>
                <w:szCs w:val="21"/>
                <w:lang w:eastAsia="cs-CZ"/>
              </w:rPr>
              <w:t>VoZP ČR</w:t>
            </w:r>
          </w:p>
        </w:tc>
        <w:tc>
          <w:tcPr>
            <w:tcW w:w="992" w:type="dxa"/>
            <w:vMerge w:val="restart"/>
            <w:tcBorders>
              <w:top w:val="single" w:sz="12" w:space="0" w:color="4F81BD"/>
              <w:left w:val="nil"/>
              <w:bottom w:val="nil"/>
              <w:right w:val="nil"/>
            </w:tcBorders>
            <w:shd w:val="clear" w:color="000000" w:fill="6691C6"/>
            <w:noWrap/>
            <w:vAlign w:val="center"/>
            <w:hideMark/>
          </w:tcPr>
          <w:p w14:paraId="28AC5B63" w14:textId="77777777" w:rsidR="00F815A4" w:rsidRPr="00F815A4" w:rsidRDefault="00F815A4" w:rsidP="00EF7638">
            <w:pPr>
              <w:spacing w:after="0" w:line="240" w:lineRule="auto"/>
              <w:jc w:val="center"/>
              <w:rPr>
                <w:rFonts w:ascii="Calibri" w:eastAsia="Times New Roman" w:hAnsi="Calibri" w:cs="Calibri"/>
                <w:b/>
                <w:bCs/>
                <w:color w:val="FFFFFF"/>
                <w:szCs w:val="21"/>
                <w:lang w:eastAsia="cs-CZ"/>
              </w:rPr>
            </w:pPr>
            <w:r w:rsidRPr="00F815A4">
              <w:rPr>
                <w:rFonts w:ascii="Calibri" w:eastAsia="Times New Roman" w:hAnsi="Calibri" w:cs="Calibri"/>
                <w:b/>
                <w:bCs/>
                <w:color w:val="FFFFFF"/>
                <w:szCs w:val="21"/>
                <w:lang w:eastAsia="cs-CZ"/>
              </w:rPr>
              <w:t>ČPZP</w:t>
            </w:r>
          </w:p>
        </w:tc>
        <w:tc>
          <w:tcPr>
            <w:tcW w:w="992" w:type="dxa"/>
            <w:vMerge w:val="restart"/>
            <w:tcBorders>
              <w:top w:val="single" w:sz="12" w:space="0" w:color="4F81BD"/>
              <w:left w:val="nil"/>
              <w:bottom w:val="nil"/>
              <w:right w:val="nil"/>
            </w:tcBorders>
            <w:shd w:val="clear" w:color="000000" w:fill="4F81BD"/>
            <w:vAlign w:val="center"/>
            <w:hideMark/>
          </w:tcPr>
          <w:p w14:paraId="773AA507" w14:textId="77777777" w:rsidR="00F815A4" w:rsidRPr="00F815A4" w:rsidRDefault="00F815A4" w:rsidP="00EF7638">
            <w:pPr>
              <w:spacing w:after="0" w:line="240" w:lineRule="auto"/>
              <w:jc w:val="center"/>
              <w:rPr>
                <w:rFonts w:ascii="Calibri" w:eastAsia="Times New Roman" w:hAnsi="Calibri" w:cs="Calibri"/>
                <w:b/>
                <w:bCs/>
                <w:color w:val="FFFFFF"/>
                <w:szCs w:val="21"/>
                <w:lang w:eastAsia="cs-CZ"/>
              </w:rPr>
            </w:pPr>
            <w:r w:rsidRPr="00F815A4">
              <w:rPr>
                <w:rFonts w:ascii="Calibri" w:eastAsia="Times New Roman" w:hAnsi="Calibri" w:cs="Calibri"/>
                <w:b/>
                <w:bCs/>
                <w:color w:val="FFFFFF"/>
                <w:szCs w:val="21"/>
                <w:lang w:eastAsia="cs-CZ"/>
              </w:rPr>
              <w:t>OZP</w:t>
            </w:r>
          </w:p>
        </w:tc>
        <w:tc>
          <w:tcPr>
            <w:tcW w:w="993" w:type="dxa"/>
            <w:vMerge w:val="restart"/>
            <w:tcBorders>
              <w:top w:val="single" w:sz="12" w:space="0" w:color="4F81BD"/>
              <w:left w:val="nil"/>
              <w:bottom w:val="nil"/>
              <w:right w:val="nil"/>
            </w:tcBorders>
            <w:shd w:val="clear" w:color="000000" w:fill="6691C6"/>
            <w:vAlign w:val="center"/>
            <w:hideMark/>
          </w:tcPr>
          <w:p w14:paraId="1FD9E300" w14:textId="77777777" w:rsidR="00F815A4" w:rsidRPr="00F815A4" w:rsidRDefault="00F815A4" w:rsidP="00EF7638">
            <w:pPr>
              <w:spacing w:after="0" w:line="240" w:lineRule="auto"/>
              <w:jc w:val="center"/>
              <w:rPr>
                <w:rFonts w:ascii="Calibri" w:eastAsia="Times New Roman" w:hAnsi="Calibri" w:cs="Calibri"/>
                <w:b/>
                <w:bCs/>
                <w:color w:val="FFFFFF"/>
                <w:szCs w:val="21"/>
                <w:lang w:eastAsia="cs-CZ"/>
              </w:rPr>
            </w:pPr>
            <w:r w:rsidRPr="00F815A4">
              <w:rPr>
                <w:rFonts w:ascii="Calibri" w:eastAsia="Times New Roman" w:hAnsi="Calibri" w:cs="Calibri"/>
                <w:b/>
                <w:bCs/>
                <w:color w:val="FFFFFF"/>
                <w:szCs w:val="21"/>
                <w:lang w:eastAsia="cs-CZ"/>
              </w:rPr>
              <w:t>ZPŠ</w:t>
            </w:r>
          </w:p>
        </w:tc>
        <w:tc>
          <w:tcPr>
            <w:tcW w:w="992" w:type="dxa"/>
            <w:vMerge w:val="restart"/>
            <w:tcBorders>
              <w:top w:val="single" w:sz="12" w:space="0" w:color="4F81BD"/>
              <w:left w:val="nil"/>
              <w:bottom w:val="nil"/>
              <w:right w:val="nil"/>
            </w:tcBorders>
            <w:shd w:val="clear" w:color="000000" w:fill="4F81BD"/>
            <w:vAlign w:val="center"/>
            <w:hideMark/>
          </w:tcPr>
          <w:p w14:paraId="04E62862" w14:textId="77777777" w:rsidR="00F815A4" w:rsidRPr="00F815A4" w:rsidRDefault="00F815A4" w:rsidP="00EF7638">
            <w:pPr>
              <w:spacing w:after="0" w:line="240" w:lineRule="auto"/>
              <w:jc w:val="center"/>
              <w:rPr>
                <w:rFonts w:ascii="Calibri" w:eastAsia="Times New Roman" w:hAnsi="Calibri" w:cs="Calibri"/>
                <w:b/>
                <w:bCs/>
                <w:color w:val="FFFFFF"/>
                <w:szCs w:val="21"/>
                <w:lang w:eastAsia="cs-CZ"/>
              </w:rPr>
            </w:pPr>
            <w:r w:rsidRPr="00F815A4">
              <w:rPr>
                <w:rFonts w:ascii="Calibri" w:eastAsia="Times New Roman" w:hAnsi="Calibri" w:cs="Calibri"/>
                <w:b/>
                <w:bCs/>
                <w:color w:val="FFFFFF"/>
                <w:szCs w:val="21"/>
                <w:lang w:eastAsia="cs-CZ"/>
              </w:rPr>
              <w:t>ZPMV ČR</w:t>
            </w:r>
          </w:p>
        </w:tc>
        <w:tc>
          <w:tcPr>
            <w:tcW w:w="865" w:type="dxa"/>
            <w:vMerge w:val="restart"/>
            <w:tcBorders>
              <w:top w:val="single" w:sz="12" w:space="0" w:color="4F81BD"/>
              <w:left w:val="nil"/>
              <w:bottom w:val="nil"/>
              <w:right w:val="single" w:sz="12" w:space="0" w:color="4F81BD"/>
            </w:tcBorders>
            <w:shd w:val="clear" w:color="000000" w:fill="6691C6"/>
            <w:vAlign w:val="center"/>
            <w:hideMark/>
          </w:tcPr>
          <w:p w14:paraId="0CA7DF9E" w14:textId="77777777" w:rsidR="00F815A4" w:rsidRPr="00F815A4" w:rsidRDefault="00F815A4" w:rsidP="00EF7638">
            <w:pPr>
              <w:spacing w:after="0" w:line="240" w:lineRule="auto"/>
              <w:jc w:val="center"/>
              <w:rPr>
                <w:rFonts w:ascii="Calibri" w:eastAsia="Times New Roman" w:hAnsi="Calibri" w:cs="Calibri"/>
                <w:b/>
                <w:bCs/>
                <w:color w:val="FFFFFF"/>
                <w:szCs w:val="21"/>
                <w:lang w:eastAsia="cs-CZ"/>
              </w:rPr>
            </w:pPr>
            <w:r w:rsidRPr="00F815A4">
              <w:rPr>
                <w:rFonts w:ascii="Calibri" w:eastAsia="Times New Roman" w:hAnsi="Calibri" w:cs="Calibri"/>
                <w:b/>
                <w:bCs/>
                <w:color w:val="FFFFFF"/>
                <w:szCs w:val="21"/>
                <w:lang w:eastAsia="cs-CZ"/>
              </w:rPr>
              <w:t>RBP</w:t>
            </w:r>
          </w:p>
        </w:tc>
      </w:tr>
      <w:tr w:rsidR="00F815A4" w:rsidRPr="00F815A4" w14:paraId="7B41660E" w14:textId="77777777" w:rsidTr="00EF7638">
        <w:trPr>
          <w:trHeight w:val="280"/>
        </w:trPr>
        <w:tc>
          <w:tcPr>
            <w:tcW w:w="3134" w:type="dxa"/>
            <w:tcBorders>
              <w:top w:val="nil"/>
              <w:left w:val="single" w:sz="12" w:space="0" w:color="4F81BD"/>
              <w:bottom w:val="nil"/>
              <w:right w:val="nil"/>
            </w:tcBorders>
            <w:shd w:val="clear" w:color="000000" w:fill="4F81BD"/>
            <w:vAlign w:val="center"/>
            <w:hideMark/>
          </w:tcPr>
          <w:p w14:paraId="1E109A4F" w14:textId="77777777" w:rsidR="00F815A4" w:rsidRPr="00F815A4" w:rsidRDefault="00F815A4" w:rsidP="00EF7638">
            <w:pPr>
              <w:spacing w:after="0" w:line="240" w:lineRule="auto"/>
              <w:rPr>
                <w:rFonts w:ascii="Calibri" w:eastAsia="Times New Roman" w:hAnsi="Calibri" w:cs="Calibri"/>
                <w:b/>
                <w:bCs/>
                <w:i/>
                <w:iCs/>
                <w:color w:val="FFFFFF"/>
                <w:szCs w:val="21"/>
                <w:lang w:eastAsia="cs-CZ"/>
              </w:rPr>
            </w:pPr>
            <w:r w:rsidRPr="00F815A4">
              <w:rPr>
                <w:rFonts w:ascii="Calibri" w:eastAsia="Times New Roman" w:hAnsi="Calibri" w:cs="Calibri"/>
                <w:b/>
                <w:bCs/>
                <w:i/>
                <w:iCs/>
                <w:color w:val="FFFFFF"/>
                <w:szCs w:val="21"/>
                <w:lang w:eastAsia="cs-CZ"/>
              </w:rPr>
              <w:t>(v mil. Kč )</w:t>
            </w:r>
          </w:p>
        </w:tc>
        <w:tc>
          <w:tcPr>
            <w:tcW w:w="993" w:type="dxa"/>
            <w:vMerge/>
            <w:tcBorders>
              <w:top w:val="single" w:sz="12" w:space="0" w:color="4F81BD"/>
              <w:left w:val="nil"/>
              <w:bottom w:val="nil"/>
              <w:right w:val="nil"/>
            </w:tcBorders>
            <w:vAlign w:val="center"/>
            <w:hideMark/>
          </w:tcPr>
          <w:p w14:paraId="7DFC83F7" w14:textId="77777777" w:rsidR="00F815A4" w:rsidRPr="00F815A4" w:rsidRDefault="00F815A4" w:rsidP="00EF7638">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5B5F8E91" w14:textId="77777777" w:rsidR="00F815A4" w:rsidRPr="00F815A4" w:rsidRDefault="00F815A4" w:rsidP="00EF7638">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7BED49FB" w14:textId="77777777" w:rsidR="00F815A4" w:rsidRPr="00F815A4" w:rsidRDefault="00F815A4" w:rsidP="00EF7638">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593C254F" w14:textId="77777777" w:rsidR="00F815A4" w:rsidRPr="00F815A4" w:rsidRDefault="00F815A4" w:rsidP="00EF7638">
            <w:pPr>
              <w:spacing w:after="0" w:line="240" w:lineRule="auto"/>
              <w:rPr>
                <w:rFonts w:ascii="Calibri" w:eastAsia="Times New Roman" w:hAnsi="Calibri" w:cs="Calibri"/>
                <w:b/>
                <w:bCs/>
                <w:color w:val="FFFFFF"/>
                <w:szCs w:val="21"/>
                <w:lang w:eastAsia="cs-CZ"/>
              </w:rPr>
            </w:pPr>
          </w:p>
        </w:tc>
        <w:tc>
          <w:tcPr>
            <w:tcW w:w="993" w:type="dxa"/>
            <w:vMerge/>
            <w:tcBorders>
              <w:top w:val="single" w:sz="12" w:space="0" w:color="4F81BD"/>
              <w:left w:val="nil"/>
              <w:bottom w:val="nil"/>
              <w:right w:val="nil"/>
            </w:tcBorders>
            <w:vAlign w:val="center"/>
            <w:hideMark/>
          </w:tcPr>
          <w:p w14:paraId="73701CBD" w14:textId="77777777" w:rsidR="00F815A4" w:rsidRPr="00F815A4" w:rsidRDefault="00F815A4" w:rsidP="00EF7638">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2F0B8515" w14:textId="77777777" w:rsidR="00F815A4" w:rsidRPr="00F815A4" w:rsidRDefault="00F815A4" w:rsidP="00EF7638">
            <w:pPr>
              <w:spacing w:after="0" w:line="240" w:lineRule="auto"/>
              <w:rPr>
                <w:rFonts w:ascii="Calibri" w:eastAsia="Times New Roman" w:hAnsi="Calibri" w:cs="Calibri"/>
                <w:b/>
                <w:bCs/>
                <w:color w:val="FFFFFF"/>
                <w:szCs w:val="21"/>
                <w:lang w:eastAsia="cs-CZ"/>
              </w:rPr>
            </w:pPr>
          </w:p>
        </w:tc>
        <w:tc>
          <w:tcPr>
            <w:tcW w:w="865" w:type="dxa"/>
            <w:vMerge/>
            <w:tcBorders>
              <w:top w:val="single" w:sz="12" w:space="0" w:color="4F81BD"/>
              <w:left w:val="nil"/>
              <w:bottom w:val="nil"/>
              <w:right w:val="single" w:sz="12" w:space="0" w:color="4F81BD"/>
            </w:tcBorders>
            <w:vAlign w:val="center"/>
            <w:hideMark/>
          </w:tcPr>
          <w:p w14:paraId="67FD4B5F" w14:textId="77777777" w:rsidR="00F815A4" w:rsidRPr="00F815A4" w:rsidRDefault="00F815A4" w:rsidP="00EF7638">
            <w:pPr>
              <w:spacing w:after="0" w:line="240" w:lineRule="auto"/>
              <w:rPr>
                <w:rFonts w:ascii="Calibri" w:eastAsia="Times New Roman" w:hAnsi="Calibri" w:cs="Calibri"/>
                <w:b/>
                <w:bCs/>
                <w:color w:val="FFFFFF"/>
                <w:szCs w:val="21"/>
                <w:lang w:eastAsia="cs-CZ"/>
              </w:rPr>
            </w:pPr>
          </w:p>
        </w:tc>
      </w:tr>
      <w:tr w:rsidR="00F815A4" w:rsidRPr="00F815A4" w14:paraId="67973C8F" w14:textId="77777777" w:rsidTr="00EF7638">
        <w:trPr>
          <w:trHeight w:val="280"/>
        </w:trPr>
        <w:tc>
          <w:tcPr>
            <w:tcW w:w="3134" w:type="dxa"/>
            <w:tcBorders>
              <w:top w:val="nil"/>
              <w:left w:val="single" w:sz="12" w:space="0" w:color="4F81BD"/>
              <w:bottom w:val="nil"/>
              <w:right w:val="nil"/>
            </w:tcBorders>
            <w:shd w:val="clear" w:color="auto" w:fill="auto"/>
            <w:vAlign w:val="center"/>
            <w:hideMark/>
          </w:tcPr>
          <w:p w14:paraId="16F53288" w14:textId="77777777" w:rsidR="00F815A4" w:rsidRPr="00F815A4" w:rsidRDefault="00F815A4" w:rsidP="00EF7638">
            <w:pPr>
              <w:spacing w:after="0" w:line="240" w:lineRule="auto"/>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výdaje celkem</w:t>
            </w:r>
          </w:p>
        </w:tc>
        <w:tc>
          <w:tcPr>
            <w:tcW w:w="993" w:type="dxa"/>
            <w:tcBorders>
              <w:top w:val="nil"/>
              <w:left w:val="nil"/>
              <w:bottom w:val="nil"/>
              <w:right w:val="nil"/>
            </w:tcBorders>
            <w:shd w:val="clear" w:color="000000" w:fill="DCE6F1"/>
            <w:noWrap/>
            <w:vAlign w:val="center"/>
            <w:hideMark/>
          </w:tcPr>
          <w:p w14:paraId="57A0403B"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275 326</w:t>
            </w:r>
          </w:p>
        </w:tc>
        <w:tc>
          <w:tcPr>
            <w:tcW w:w="992" w:type="dxa"/>
            <w:tcBorders>
              <w:top w:val="nil"/>
              <w:left w:val="nil"/>
              <w:bottom w:val="nil"/>
              <w:right w:val="nil"/>
            </w:tcBorders>
            <w:shd w:val="clear" w:color="auto" w:fill="auto"/>
            <w:noWrap/>
            <w:vAlign w:val="center"/>
            <w:hideMark/>
          </w:tcPr>
          <w:p w14:paraId="39CCF372"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29 399</w:t>
            </w:r>
          </w:p>
        </w:tc>
        <w:tc>
          <w:tcPr>
            <w:tcW w:w="992" w:type="dxa"/>
            <w:tcBorders>
              <w:top w:val="nil"/>
              <w:left w:val="nil"/>
              <w:bottom w:val="nil"/>
              <w:right w:val="nil"/>
            </w:tcBorders>
            <w:shd w:val="clear" w:color="000000" w:fill="DCE6F1"/>
            <w:noWrap/>
            <w:vAlign w:val="center"/>
            <w:hideMark/>
          </w:tcPr>
          <w:p w14:paraId="06A4385B"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52 251</w:t>
            </w:r>
          </w:p>
        </w:tc>
        <w:tc>
          <w:tcPr>
            <w:tcW w:w="992" w:type="dxa"/>
            <w:tcBorders>
              <w:top w:val="nil"/>
              <w:left w:val="nil"/>
              <w:bottom w:val="nil"/>
              <w:right w:val="nil"/>
            </w:tcBorders>
            <w:shd w:val="clear" w:color="auto" w:fill="auto"/>
            <w:noWrap/>
            <w:vAlign w:val="center"/>
            <w:hideMark/>
          </w:tcPr>
          <w:p w14:paraId="6512A9A9"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30 547</w:t>
            </w:r>
          </w:p>
        </w:tc>
        <w:tc>
          <w:tcPr>
            <w:tcW w:w="993" w:type="dxa"/>
            <w:tcBorders>
              <w:top w:val="nil"/>
              <w:left w:val="nil"/>
              <w:bottom w:val="nil"/>
              <w:right w:val="nil"/>
            </w:tcBorders>
            <w:shd w:val="clear" w:color="000000" w:fill="DCE6F1"/>
            <w:noWrap/>
            <w:vAlign w:val="center"/>
            <w:hideMark/>
          </w:tcPr>
          <w:p w14:paraId="1803B7DA"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6 379</w:t>
            </w:r>
          </w:p>
        </w:tc>
        <w:tc>
          <w:tcPr>
            <w:tcW w:w="992" w:type="dxa"/>
            <w:tcBorders>
              <w:top w:val="nil"/>
              <w:left w:val="nil"/>
              <w:bottom w:val="nil"/>
              <w:right w:val="nil"/>
            </w:tcBorders>
            <w:shd w:val="clear" w:color="auto" w:fill="auto"/>
            <w:noWrap/>
            <w:vAlign w:val="center"/>
            <w:hideMark/>
          </w:tcPr>
          <w:p w14:paraId="61B0D88C"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57 528</w:t>
            </w:r>
          </w:p>
        </w:tc>
        <w:tc>
          <w:tcPr>
            <w:tcW w:w="865" w:type="dxa"/>
            <w:tcBorders>
              <w:top w:val="nil"/>
              <w:left w:val="nil"/>
              <w:bottom w:val="nil"/>
              <w:right w:val="single" w:sz="12" w:space="0" w:color="4F81BD"/>
            </w:tcBorders>
            <w:shd w:val="clear" w:color="000000" w:fill="DCE6F1"/>
            <w:noWrap/>
            <w:vAlign w:val="center"/>
            <w:hideMark/>
          </w:tcPr>
          <w:p w14:paraId="58704F18"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17 757</w:t>
            </w:r>
          </w:p>
        </w:tc>
      </w:tr>
      <w:tr w:rsidR="00EF7638" w:rsidRPr="00F815A4" w14:paraId="2133C974" w14:textId="77777777" w:rsidTr="00EF7638">
        <w:trPr>
          <w:trHeight w:val="280"/>
        </w:trPr>
        <w:tc>
          <w:tcPr>
            <w:tcW w:w="3134" w:type="dxa"/>
            <w:tcBorders>
              <w:top w:val="nil"/>
              <w:left w:val="single" w:sz="12" w:space="0" w:color="4F81BD"/>
              <w:bottom w:val="nil"/>
              <w:right w:val="nil"/>
            </w:tcBorders>
            <w:shd w:val="clear" w:color="000000" w:fill="EEF3F8"/>
            <w:vAlign w:val="center"/>
            <w:hideMark/>
          </w:tcPr>
          <w:p w14:paraId="2FFB28EB" w14:textId="77777777" w:rsidR="00F815A4" w:rsidRPr="00F815A4" w:rsidRDefault="00F815A4" w:rsidP="00EF7638">
            <w:pPr>
              <w:spacing w:after="0" w:line="240" w:lineRule="auto"/>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výdaje na zdravotní služby ze ZFZP</w:t>
            </w:r>
          </w:p>
        </w:tc>
        <w:tc>
          <w:tcPr>
            <w:tcW w:w="993" w:type="dxa"/>
            <w:tcBorders>
              <w:top w:val="nil"/>
              <w:left w:val="nil"/>
              <w:bottom w:val="nil"/>
              <w:right w:val="nil"/>
            </w:tcBorders>
            <w:shd w:val="clear" w:color="000000" w:fill="EEF3F8"/>
            <w:noWrap/>
            <w:vAlign w:val="center"/>
            <w:hideMark/>
          </w:tcPr>
          <w:p w14:paraId="515D9996"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267 204</w:t>
            </w:r>
          </w:p>
        </w:tc>
        <w:tc>
          <w:tcPr>
            <w:tcW w:w="992" w:type="dxa"/>
            <w:tcBorders>
              <w:top w:val="nil"/>
              <w:left w:val="nil"/>
              <w:bottom w:val="nil"/>
              <w:right w:val="nil"/>
            </w:tcBorders>
            <w:shd w:val="clear" w:color="000000" w:fill="EEF3F8"/>
            <w:noWrap/>
            <w:vAlign w:val="center"/>
            <w:hideMark/>
          </w:tcPr>
          <w:p w14:paraId="0ED9DDA5"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28 327</w:t>
            </w:r>
          </w:p>
        </w:tc>
        <w:tc>
          <w:tcPr>
            <w:tcW w:w="992" w:type="dxa"/>
            <w:tcBorders>
              <w:top w:val="nil"/>
              <w:left w:val="nil"/>
              <w:bottom w:val="nil"/>
              <w:right w:val="nil"/>
            </w:tcBorders>
            <w:shd w:val="clear" w:color="000000" w:fill="EEF3F8"/>
            <w:noWrap/>
            <w:vAlign w:val="center"/>
            <w:hideMark/>
          </w:tcPr>
          <w:p w14:paraId="5718C7B9"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50 635</w:t>
            </w:r>
          </w:p>
        </w:tc>
        <w:tc>
          <w:tcPr>
            <w:tcW w:w="992" w:type="dxa"/>
            <w:tcBorders>
              <w:top w:val="nil"/>
              <w:left w:val="nil"/>
              <w:bottom w:val="nil"/>
              <w:right w:val="nil"/>
            </w:tcBorders>
            <w:shd w:val="clear" w:color="000000" w:fill="EEF3F8"/>
            <w:noWrap/>
            <w:vAlign w:val="center"/>
            <w:hideMark/>
          </w:tcPr>
          <w:p w14:paraId="6CB2FAAB"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29 604</w:t>
            </w:r>
          </w:p>
        </w:tc>
        <w:tc>
          <w:tcPr>
            <w:tcW w:w="993" w:type="dxa"/>
            <w:tcBorders>
              <w:top w:val="nil"/>
              <w:left w:val="nil"/>
              <w:bottom w:val="nil"/>
              <w:right w:val="nil"/>
            </w:tcBorders>
            <w:shd w:val="clear" w:color="000000" w:fill="EEF3F8"/>
            <w:noWrap/>
            <w:vAlign w:val="center"/>
            <w:hideMark/>
          </w:tcPr>
          <w:p w14:paraId="294752A1"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6 163</w:t>
            </w:r>
          </w:p>
        </w:tc>
        <w:tc>
          <w:tcPr>
            <w:tcW w:w="992" w:type="dxa"/>
            <w:tcBorders>
              <w:top w:val="nil"/>
              <w:left w:val="nil"/>
              <w:bottom w:val="nil"/>
              <w:right w:val="nil"/>
            </w:tcBorders>
            <w:shd w:val="clear" w:color="000000" w:fill="EEF3F8"/>
            <w:noWrap/>
            <w:vAlign w:val="center"/>
            <w:hideMark/>
          </w:tcPr>
          <w:p w14:paraId="3039C288"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55 579</w:t>
            </w:r>
          </w:p>
        </w:tc>
        <w:tc>
          <w:tcPr>
            <w:tcW w:w="865" w:type="dxa"/>
            <w:tcBorders>
              <w:top w:val="nil"/>
              <w:left w:val="nil"/>
              <w:bottom w:val="nil"/>
              <w:right w:val="single" w:sz="12" w:space="0" w:color="4F81BD"/>
            </w:tcBorders>
            <w:shd w:val="clear" w:color="000000" w:fill="EEF3F8"/>
            <w:noWrap/>
            <w:vAlign w:val="center"/>
            <w:hideMark/>
          </w:tcPr>
          <w:p w14:paraId="32E89F4B"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17 210</w:t>
            </w:r>
          </w:p>
        </w:tc>
      </w:tr>
      <w:tr w:rsidR="00F815A4" w:rsidRPr="00F815A4" w14:paraId="6AC38FE0" w14:textId="77777777" w:rsidTr="00EF7638">
        <w:trPr>
          <w:trHeight w:val="280"/>
        </w:trPr>
        <w:tc>
          <w:tcPr>
            <w:tcW w:w="3134" w:type="dxa"/>
            <w:tcBorders>
              <w:top w:val="nil"/>
              <w:left w:val="single" w:sz="12" w:space="0" w:color="4F81BD"/>
              <w:bottom w:val="nil"/>
              <w:right w:val="nil"/>
            </w:tcBorders>
            <w:shd w:val="clear" w:color="auto" w:fill="auto"/>
            <w:vAlign w:val="center"/>
            <w:hideMark/>
          </w:tcPr>
          <w:p w14:paraId="5AC42C60" w14:textId="77777777" w:rsidR="00F815A4" w:rsidRPr="00F815A4" w:rsidRDefault="00F815A4" w:rsidP="00EF7638">
            <w:pPr>
              <w:spacing w:after="0" w:line="240" w:lineRule="auto"/>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na 1 pojištěnce (v Kč)</w:t>
            </w:r>
          </w:p>
        </w:tc>
        <w:tc>
          <w:tcPr>
            <w:tcW w:w="993" w:type="dxa"/>
            <w:tcBorders>
              <w:top w:val="nil"/>
              <w:left w:val="nil"/>
              <w:bottom w:val="nil"/>
              <w:right w:val="nil"/>
            </w:tcBorders>
            <w:shd w:val="clear" w:color="000000" w:fill="DCE6F1"/>
            <w:noWrap/>
            <w:vAlign w:val="center"/>
            <w:hideMark/>
          </w:tcPr>
          <w:p w14:paraId="32E7326C"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43 377</w:t>
            </w:r>
          </w:p>
        </w:tc>
        <w:tc>
          <w:tcPr>
            <w:tcW w:w="992" w:type="dxa"/>
            <w:tcBorders>
              <w:top w:val="nil"/>
              <w:left w:val="nil"/>
              <w:bottom w:val="nil"/>
              <w:right w:val="nil"/>
            </w:tcBorders>
            <w:shd w:val="clear" w:color="auto" w:fill="auto"/>
            <w:noWrap/>
            <w:vAlign w:val="center"/>
            <w:hideMark/>
          </w:tcPr>
          <w:p w14:paraId="6A862103"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40 058</w:t>
            </w:r>
          </w:p>
        </w:tc>
        <w:tc>
          <w:tcPr>
            <w:tcW w:w="992" w:type="dxa"/>
            <w:tcBorders>
              <w:top w:val="nil"/>
              <w:left w:val="nil"/>
              <w:bottom w:val="nil"/>
              <w:right w:val="nil"/>
            </w:tcBorders>
            <w:shd w:val="clear" w:color="000000" w:fill="DCE6F1"/>
            <w:noWrap/>
            <w:vAlign w:val="center"/>
            <w:hideMark/>
          </w:tcPr>
          <w:p w14:paraId="36AD70BE"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38 614</w:t>
            </w:r>
          </w:p>
        </w:tc>
        <w:tc>
          <w:tcPr>
            <w:tcW w:w="992" w:type="dxa"/>
            <w:tcBorders>
              <w:top w:val="nil"/>
              <w:left w:val="nil"/>
              <w:bottom w:val="nil"/>
              <w:right w:val="nil"/>
            </w:tcBorders>
            <w:shd w:val="clear" w:color="auto" w:fill="auto"/>
            <w:noWrap/>
            <w:vAlign w:val="center"/>
            <w:hideMark/>
          </w:tcPr>
          <w:p w14:paraId="36CAFE25"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38 791</w:t>
            </w:r>
          </w:p>
        </w:tc>
        <w:tc>
          <w:tcPr>
            <w:tcW w:w="993" w:type="dxa"/>
            <w:tcBorders>
              <w:top w:val="nil"/>
              <w:left w:val="nil"/>
              <w:bottom w:val="nil"/>
              <w:right w:val="nil"/>
            </w:tcBorders>
            <w:shd w:val="clear" w:color="000000" w:fill="DCE6F1"/>
            <w:noWrap/>
            <w:vAlign w:val="center"/>
            <w:hideMark/>
          </w:tcPr>
          <w:p w14:paraId="2484921B"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42 781</w:t>
            </w:r>
          </w:p>
        </w:tc>
        <w:tc>
          <w:tcPr>
            <w:tcW w:w="992" w:type="dxa"/>
            <w:tcBorders>
              <w:top w:val="nil"/>
              <w:left w:val="nil"/>
              <w:bottom w:val="nil"/>
              <w:right w:val="nil"/>
            </w:tcBorders>
            <w:shd w:val="clear" w:color="auto" w:fill="auto"/>
            <w:noWrap/>
            <w:vAlign w:val="center"/>
            <w:hideMark/>
          </w:tcPr>
          <w:p w14:paraId="0CE5E649"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41 134</w:t>
            </w:r>
          </w:p>
        </w:tc>
        <w:tc>
          <w:tcPr>
            <w:tcW w:w="865" w:type="dxa"/>
            <w:tcBorders>
              <w:top w:val="nil"/>
              <w:left w:val="nil"/>
              <w:bottom w:val="nil"/>
              <w:right w:val="single" w:sz="12" w:space="0" w:color="4F81BD"/>
            </w:tcBorders>
            <w:shd w:val="clear" w:color="000000" w:fill="DCE6F1"/>
            <w:noWrap/>
            <w:vAlign w:val="center"/>
            <w:hideMark/>
          </w:tcPr>
          <w:p w14:paraId="6AC03524"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40 173</w:t>
            </w:r>
          </w:p>
        </w:tc>
      </w:tr>
      <w:tr w:rsidR="00EF7638" w:rsidRPr="00F815A4" w14:paraId="637DAE16" w14:textId="77777777" w:rsidTr="00EF7638">
        <w:trPr>
          <w:trHeight w:val="280"/>
        </w:trPr>
        <w:tc>
          <w:tcPr>
            <w:tcW w:w="3134" w:type="dxa"/>
            <w:tcBorders>
              <w:top w:val="nil"/>
              <w:left w:val="single" w:sz="12" w:space="0" w:color="4F81BD"/>
              <w:bottom w:val="nil"/>
              <w:right w:val="nil"/>
            </w:tcBorders>
            <w:shd w:val="clear" w:color="000000" w:fill="EEF3F8"/>
            <w:vAlign w:val="center"/>
            <w:hideMark/>
          </w:tcPr>
          <w:p w14:paraId="6B73707F" w14:textId="77777777" w:rsidR="00F815A4" w:rsidRPr="00F815A4" w:rsidRDefault="00F815A4" w:rsidP="00EF7638">
            <w:pPr>
              <w:spacing w:after="0" w:line="240" w:lineRule="auto"/>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výdaje na preventivní programy</w:t>
            </w:r>
          </w:p>
        </w:tc>
        <w:tc>
          <w:tcPr>
            <w:tcW w:w="993" w:type="dxa"/>
            <w:tcBorders>
              <w:top w:val="nil"/>
              <w:left w:val="nil"/>
              <w:bottom w:val="nil"/>
              <w:right w:val="nil"/>
            </w:tcBorders>
            <w:shd w:val="clear" w:color="000000" w:fill="EEF3F8"/>
            <w:noWrap/>
            <w:vAlign w:val="center"/>
            <w:hideMark/>
          </w:tcPr>
          <w:p w14:paraId="46AF9619"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906</w:t>
            </w:r>
          </w:p>
        </w:tc>
        <w:tc>
          <w:tcPr>
            <w:tcW w:w="992" w:type="dxa"/>
            <w:tcBorders>
              <w:top w:val="nil"/>
              <w:left w:val="nil"/>
              <w:bottom w:val="nil"/>
              <w:right w:val="nil"/>
            </w:tcBorders>
            <w:shd w:val="clear" w:color="000000" w:fill="EEF3F8"/>
            <w:noWrap/>
            <w:vAlign w:val="center"/>
            <w:hideMark/>
          </w:tcPr>
          <w:p w14:paraId="591E0E87"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185</w:t>
            </w:r>
          </w:p>
        </w:tc>
        <w:tc>
          <w:tcPr>
            <w:tcW w:w="992" w:type="dxa"/>
            <w:tcBorders>
              <w:top w:val="nil"/>
              <w:left w:val="nil"/>
              <w:bottom w:val="nil"/>
              <w:right w:val="nil"/>
            </w:tcBorders>
            <w:shd w:val="clear" w:color="000000" w:fill="EEF3F8"/>
            <w:noWrap/>
            <w:vAlign w:val="center"/>
            <w:hideMark/>
          </w:tcPr>
          <w:p w14:paraId="71203BE3"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370</w:t>
            </w:r>
          </w:p>
        </w:tc>
        <w:tc>
          <w:tcPr>
            <w:tcW w:w="992" w:type="dxa"/>
            <w:tcBorders>
              <w:top w:val="nil"/>
              <w:left w:val="nil"/>
              <w:bottom w:val="nil"/>
              <w:right w:val="nil"/>
            </w:tcBorders>
            <w:shd w:val="clear" w:color="000000" w:fill="EEF3F8"/>
            <w:noWrap/>
            <w:vAlign w:val="center"/>
            <w:hideMark/>
          </w:tcPr>
          <w:p w14:paraId="7CA6746A"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215</w:t>
            </w:r>
          </w:p>
        </w:tc>
        <w:tc>
          <w:tcPr>
            <w:tcW w:w="993" w:type="dxa"/>
            <w:tcBorders>
              <w:top w:val="nil"/>
              <w:left w:val="nil"/>
              <w:bottom w:val="nil"/>
              <w:right w:val="nil"/>
            </w:tcBorders>
            <w:shd w:val="clear" w:color="000000" w:fill="EEF3F8"/>
            <w:noWrap/>
            <w:vAlign w:val="center"/>
            <w:hideMark/>
          </w:tcPr>
          <w:p w14:paraId="18CCF794"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43</w:t>
            </w:r>
          </w:p>
        </w:tc>
        <w:tc>
          <w:tcPr>
            <w:tcW w:w="992" w:type="dxa"/>
            <w:tcBorders>
              <w:top w:val="nil"/>
              <w:left w:val="nil"/>
              <w:bottom w:val="nil"/>
              <w:right w:val="nil"/>
            </w:tcBorders>
            <w:shd w:val="clear" w:color="000000" w:fill="EEF3F8"/>
            <w:noWrap/>
            <w:vAlign w:val="center"/>
            <w:hideMark/>
          </w:tcPr>
          <w:p w14:paraId="0A429FFE"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389</w:t>
            </w:r>
          </w:p>
        </w:tc>
        <w:tc>
          <w:tcPr>
            <w:tcW w:w="865" w:type="dxa"/>
            <w:tcBorders>
              <w:top w:val="nil"/>
              <w:left w:val="nil"/>
              <w:bottom w:val="nil"/>
              <w:right w:val="single" w:sz="12" w:space="0" w:color="4F81BD"/>
            </w:tcBorders>
            <w:shd w:val="clear" w:color="000000" w:fill="EEF3F8"/>
            <w:noWrap/>
            <w:vAlign w:val="center"/>
            <w:hideMark/>
          </w:tcPr>
          <w:p w14:paraId="390081BB"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99</w:t>
            </w:r>
          </w:p>
        </w:tc>
      </w:tr>
      <w:tr w:rsidR="00F815A4" w:rsidRPr="00F815A4" w14:paraId="2B98EE11" w14:textId="77777777" w:rsidTr="00EF7638">
        <w:trPr>
          <w:trHeight w:val="290"/>
        </w:trPr>
        <w:tc>
          <w:tcPr>
            <w:tcW w:w="3134" w:type="dxa"/>
            <w:tcBorders>
              <w:top w:val="nil"/>
              <w:left w:val="single" w:sz="12" w:space="0" w:color="4F81BD"/>
              <w:bottom w:val="nil"/>
              <w:right w:val="nil"/>
            </w:tcBorders>
            <w:shd w:val="clear" w:color="auto" w:fill="auto"/>
            <w:vAlign w:val="center"/>
            <w:hideMark/>
          </w:tcPr>
          <w:p w14:paraId="678C62F3" w14:textId="77777777" w:rsidR="00F815A4" w:rsidRPr="00F815A4" w:rsidRDefault="00F815A4" w:rsidP="00EF7638">
            <w:pPr>
              <w:spacing w:after="0" w:line="240" w:lineRule="auto"/>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na 1 pojištěnce (v Kč)</w:t>
            </w:r>
          </w:p>
        </w:tc>
        <w:tc>
          <w:tcPr>
            <w:tcW w:w="993" w:type="dxa"/>
            <w:tcBorders>
              <w:top w:val="nil"/>
              <w:left w:val="nil"/>
              <w:bottom w:val="nil"/>
              <w:right w:val="nil"/>
            </w:tcBorders>
            <w:shd w:val="clear" w:color="000000" w:fill="DCE6F1"/>
            <w:noWrap/>
            <w:vAlign w:val="center"/>
            <w:hideMark/>
          </w:tcPr>
          <w:p w14:paraId="0FBCDFC5"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147</w:t>
            </w:r>
          </w:p>
        </w:tc>
        <w:tc>
          <w:tcPr>
            <w:tcW w:w="992" w:type="dxa"/>
            <w:tcBorders>
              <w:top w:val="nil"/>
              <w:left w:val="nil"/>
              <w:bottom w:val="nil"/>
              <w:right w:val="nil"/>
            </w:tcBorders>
            <w:shd w:val="clear" w:color="auto" w:fill="auto"/>
            <w:noWrap/>
            <w:vAlign w:val="center"/>
            <w:hideMark/>
          </w:tcPr>
          <w:p w14:paraId="5BE133B9"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261</w:t>
            </w:r>
          </w:p>
        </w:tc>
        <w:tc>
          <w:tcPr>
            <w:tcW w:w="992" w:type="dxa"/>
            <w:tcBorders>
              <w:top w:val="nil"/>
              <w:left w:val="nil"/>
              <w:bottom w:val="nil"/>
              <w:right w:val="nil"/>
            </w:tcBorders>
            <w:shd w:val="clear" w:color="000000" w:fill="DCE6F1"/>
            <w:noWrap/>
            <w:vAlign w:val="center"/>
            <w:hideMark/>
          </w:tcPr>
          <w:p w14:paraId="698A3205"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282</w:t>
            </w:r>
          </w:p>
        </w:tc>
        <w:tc>
          <w:tcPr>
            <w:tcW w:w="992" w:type="dxa"/>
            <w:tcBorders>
              <w:top w:val="nil"/>
              <w:left w:val="nil"/>
              <w:bottom w:val="nil"/>
              <w:right w:val="nil"/>
            </w:tcBorders>
            <w:shd w:val="clear" w:color="auto" w:fill="auto"/>
            <w:noWrap/>
            <w:vAlign w:val="center"/>
            <w:hideMark/>
          </w:tcPr>
          <w:p w14:paraId="75ADE6A5"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282</w:t>
            </w:r>
          </w:p>
        </w:tc>
        <w:tc>
          <w:tcPr>
            <w:tcW w:w="993" w:type="dxa"/>
            <w:tcBorders>
              <w:top w:val="nil"/>
              <w:left w:val="nil"/>
              <w:bottom w:val="nil"/>
              <w:right w:val="nil"/>
            </w:tcBorders>
            <w:shd w:val="clear" w:color="000000" w:fill="DCE6F1"/>
            <w:noWrap/>
            <w:vAlign w:val="center"/>
            <w:hideMark/>
          </w:tcPr>
          <w:p w14:paraId="2B76394F"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298</w:t>
            </w:r>
          </w:p>
        </w:tc>
        <w:tc>
          <w:tcPr>
            <w:tcW w:w="992" w:type="dxa"/>
            <w:tcBorders>
              <w:top w:val="nil"/>
              <w:left w:val="nil"/>
              <w:bottom w:val="nil"/>
              <w:right w:val="nil"/>
            </w:tcBorders>
            <w:shd w:val="clear" w:color="auto" w:fill="auto"/>
            <w:noWrap/>
            <w:vAlign w:val="center"/>
            <w:hideMark/>
          </w:tcPr>
          <w:p w14:paraId="71815ECB"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288</w:t>
            </w:r>
          </w:p>
        </w:tc>
        <w:tc>
          <w:tcPr>
            <w:tcW w:w="865" w:type="dxa"/>
            <w:tcBorders>
              <w:top w:val="nil"/>
              <w:left w:val="nil"/>
              <w:bottom w:val="nil"/>
              <w:right w:val="single" w:sz="12" w:space="0" w:color="4F81BD"/>
            </w:tcBorders>
            <w:shd w:val="clear" w:color="000000" w:fill="DCE6F1"/>
            <w:noWrap/>
            <w:vAlign w:val="center"/>
            <w:hideMark/>
          </w:tcPr>
          <w:p w14:paraId="0B1E7C73" w14:textId="77777777"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231</w:t>
            </w:r>
          </w:p>
        </w:tc>
      </w:tr>
      <w:tr w:rsidR="00EF7638" w:rsidRPr="00F815A4" w14:paraId="5B6E07BE" w14:textId="77777777" w:rsidTr="00EF7638">
        <w:trPr>
          <w:trHeight w:val="290"/>
        </w:trPr>
        <w:tc>
          <w:tcPr>
            <w:tcW w:w="3134" w:type="dxa"/>
            <w:tcBorders>
              <w:top w:val="nil"/>
              <w:left w:val="single" w:sz="12" w:space="0" w:color="4F81BD"/>
              <w:bottom w:val="nil"/>
              <w:right w:val="nil"/>
            </w:tcBorders>
            <w:shd w:val="clear" w:color="000000" w:fill="EEF3F8"/>
            <w:vAlign w:val="center"/>
            <w:hideMark/>
          </w:tcPr>
          <w:p w14:paraId="24F1D50C" w14:textId="77777777" w:rsidR="00F815A4" w:rsidRPr="00F815A4" w:rsidRDefault="00F815A4" w:rsidP="00EF7638">
            <w:pPr>
              <w:spacing w:after="0" w:line="240" w:lineRule="auto"/>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výdaje na vlastní činnost</w:t>
            </w:r>
          </w:p>
        </w:tc>
        <w:tc>
          <w:tcPr>
            <w:tcW w:w="993" w:type="dxa"/>
            <w:tcBorders>
              <w:top w:val="nil"/>
              <w:left w:val="nil"/>
              <w:bottom w:val="nil"/>
              <w:right w:val="nil"/>
            </w:tcBorders>
            <w:shd w:val="clear" w:color="000000" w:fill="EEF3F8"/>
            <w:noWrap/>
            <w:vAlign w:val="center"/>
            <w:hideMark/>
          </w:tcPr>
          <w:p w14:paraId="6C870326"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5 414</w:t>
            </w:r>
          </w:p>
        </w:tc>
        <w:tc>
          <w:tcPr>
            <w:tcW w:w="992" w:type="dxa"/>
            <w:tcBorders>
              <w:top w:val="nil"/>
              <w:left w:val="nil"/>
              <w:bottom w:val="nil"/>
              <w:right w:val="nil"/>
            </w:tcBorders>
            <w:shd w:val="clear" w:color="000000" w:fill="EEF3F8"/>
            <w:noWrap/>
            <w:vAlign w:val="center"/>
            <w:hideMark/>
          </w:tcPr>
          <w:p w14:paraId="1290C830"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676</w:t>
            </w:r>
          </w:p>
        </w:tc>
        <w:tc>
          <w:tcPr>
            <w:tcW w:w="992" w:type="dxa"/>
            <w:tcBorders>
              <w:top w:val="nil"/>
              <w:left w:val="nil"/>
              <w:bottom w:val="nil"/>
              <w:right w:val="nil"/>
            </w:tcBorders>
            <w:shd w:val="clear" w:color="000000" w:fill="EEF3F8"/>
            <w:noWrap/>
            <w:vAlign w:val="center"/>
            <w:hideMark/>
          </w:tcPr>
          <w:p w14:paraId="575C84D2"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1 040</w:t>
            </w:r>
          </w:p>
        </w:tc>
        <w:tc>
          <w:tcPr>
            <w:tcW w:w="992" w:type="dxa"/>
            <w:tcBorders>
              <w:top w:val="nil"/>
              <w:left w:val="nil"/>
              <w:bottom w:val="nil"/>
              <w:right w:val="nil"/>
            </w:tcBorders>
            <w:shd w:val="clear" w:color="000000" w:fill="EEF3F8"/>
            <w:noWrap/>
            <w:vAlign w:val="center"/>
            <w:hideMark/>
          </w:tcPr>
          <w:p w14:paraId="13604CA6"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685</w:t>
            </w:r>
          </w:p>
        </w:tc>
        <w:tc>
          <w:tcPr>
            <w:tcW w:w="993" w:type="dxa"/>
            <w:tcBorders>
              <w:top w:val="nil"/>
              <w:left w:val="nil"/>
              <w:bottom w:val="nil"/>
              <w:right w:val="nil"/>
            </w:tcBorders>
            <w:shd w:val="clear" w:color="000000" w:fill="EEF3F8"/>
            <w:noWrap/>
            <w:vAlign w:val="center"/>
            <w:hideMark/>
          </w:tcPr>
          <w:p w14:paraId="70694668"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159</w:t>
            </w:r>
          </w:p>
        </w:tc>
        <w:tc>
          <w:tcPr>
            <w:tcW w:w="992" w:type="dxa"/>
            <w:tcBorders>
              <w:top w:val="nil"/>
              <w:left w:val="nil"/>
              <w:bottom w:val="nil"/>
              <w:right w:val="nil"/>
            </w:tcBorders>
            <w:shd w:val="clear" w:color="000000" w:fill="EEF3F8"/>
            <w:noWrap/>
            <w:vAlign w:val="center"/>
            <w:hideMark/>
          </w:tcPr>
          <w:p w14:paraId="11BEF646"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1 275</w:t>
            </w:r>
          </w:p>
        </w:tc>
        <w:tc>
          <w:tcPr>
            <w:tcW w:w="865" w:type="dxa"/>
            <w:tcBorders>
              <w:top w:val="nil"/>
              <w:left w:val="nil"/>
              <w:bottom w:val="nil"/>
              <w:right w:val="single" w:sz="12" w:space="0" w:color="4F81BD"/>
            </w:tcBorders>
            <w:shd w:val="clear" w:color="000000" w:fill="EEF3F8"/>
            <w:noWrap/>
            <w:vAlign w:val="center"/>
            <w:hideMark/>
          </w:tcPr>
          <w:p w14:paraId="65FAA3E2" w14:textId="77777777" w:rsidR="00F815A4" w:rsidRPr="00F815A4" w:rsidRDefault="00F815A4" w:rsidP="00EF7638">
            <w:pPr>
              <w:spacing w:after="0" w:line="240" w:lineRule="auto"/>
              <w:jc w:val="right"/>
              <w:rPr>
                <w:rFonts w:ascii="Calibri" w:eastAsia="Times New Roman" w:hAnsi="Calibri" w:cs="Calibri"/>
                <w:b/>
                <w:bCs/>
                <w:color w:val="000000"/>
                <w:szCs w:val="21"/>
                <w:lang w:eastAsia="cs-CZ"/>
              </w:rPr>
            </w:pPr>
            <w:r w:rsidRPr="00F815A4">
              <w:rPr>
                <w:rFonts w:ascii="Calibri" w:eastAsia="Times New Roman" w:hAnsi="Calibri" w:cs="Calibri"/>
                <w:b/>
                <w:bCs/>
                <w:color w:val="000000"/>
                <w:szCs w:val="21"/>
                <w:lang w:eastAsia="cs-CZ"/>
              </w:rPr>
              <w:t>422</w:t>
            </w:r>
          </w:p>
        </w:tc>
      </w:tr>
      <w:tr w:rsidR="00F815A4" w:rsidRPr="00F815A4" w14:paraId="278465D3" w14:textId="77777777" w:rsidTr="00EF7638">
        <w:trPr>
          <w:trHeight w:val="300"/>
        </w:trPr>
        <w:tc>
          <w:tcPr>
            <w:tcW w:w="3134" w:type="dxa"/>
            <w:tcBorders>
              <w:top w:val="nil"/>
              <w:left w:val="single" w:sz="12" w:space="0" w:color="4F81BD"/>
              <w:bottom w:val="single" w:sz="12" w:space="0" w:color="4F81BD"/>
              <w:right w:val="nil"/>
            </w:tcBorders>
            <w:shd w:val="clear" w:color="auto" w:fill="auto"/>
            <w:vAlign w:val="center"/>
            <w:hideMark/>
          </w:tcPr>
          <w:p w14:paraId="272BDA6B" w14:textId="77777777" w:rsidR="00F815A4" w:rsidRPr="00F815A4" w:rsidRDefault="00F815A4" w:rsidP="00EF7638">
            <w:pPr>
              <w:spacing w:after="0" w:line="240" w:lineRule="auto"/>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 xml:space="preserve">podíl na výdajích celkem </w:t>
            </w:r>
          </w:p>
        </w:tc>
        <w:tc>
          <w:tcPr>
            <w:tcW w:w="993" w:type="dxa"/>
            <w:tcBorders>
              <w:top w:val="nil"/>
              <w:left w:val="nil"/>
              <w:bottom w:val="single" w:sz="12" w:space="0" w:color="4F81BD"/>
              <w:right w:val="nil"/>
            </w:tcBorders>
            <w:shd w:val="clear" w:color="000000" w:fill="DCE6F1"/>
            <w:noWrap/>
            <w:vAlign w:val="center"/>
            <w:hideMark/>
          </w:tcPr>
          <w:p w14:paraId="5866FEE8" w14:textId="06D198A4"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2,0</w:t>
            </w:r>
            <w:r w:rsidR="00A54B63">
              <w:rPr>
                <w:rFonts w:ascii="Calibri" w:eastAsia="Times New Roman" w:hAnsi="Calibri" w:cs="Calibri"/>
                <w:color w:val="000000"/>
                <w:szCs w:val="21"/>
                <w:lang w:eastAsia="cs-CZ"/>
              </w:rPr>
              <w:t xml:space="preserve"> </w:t>
            </w:r>
            <w:r w:rsidRPr="00F815A4">
              <w:rPr>
                <w:rFonts w:ascii="Calibri" w:eastAsia="Times New Roman" w:hAnsi="Calibri" w:cs="Calibri"/>
                <w:color w:val="000000"/>
                <w:szCs w:val="21"/>
                <w:lang w:eastAsia="cs-CZ"/>
              </w:rPr>
              <w:t>%</w:t>
            </w:r>
          </w:p>
        </w:tc>
        <w:tc>
          <w:tcPr>
            <w:tcW w:w="992" w:type="dxa"/>
            <w:tcBorders>
              <w:top w:val="nil"/>
              <w:left w:val="nil"/>
              <w:bottom w:val="single" w:sz="12" w:space="0" w:color="4F81BD"/>
              <w:right w:val="nil"/>
            </w:tcBorders>
            <w:shd w:val="clear" w:color="auto" w:fill="auto"/>
            <w:noWrap/>
            <w:vAlign w:val="center"/>
            <w:hideMark/>
          </w:tcPr>
          <w:p w14:paraId="024DE16D" w14:textId="31D96FC5"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2,3</w:t>
            </w:r>
            <w:r w:rsidR="00A54B63">
              <w:rPr>
                <w:rFonts w:ascii="Calibri" w:eastAsia="Times New Roman" w:hAnsi="Calibri" w:cs="Calibri"/>
                <w:color w:val="000000"/>
                <w:szCs w:val="21"/>
                <w:lang w:eastAsia="cs-CZ"/>
              </w:rPr>
              <w:t xml:space="preserve"> </w:t>
            </w:r>
            <w:r w:rsidRPr="00F815A4">
              <w:rPr>
                <w:rFonts w:ascii="Calibri" w:eastAsia="Times New Roman" w:hAnsi="Calibri" w:cs="Calibri"/>
                <w:color w:val="000000"/>
                <w:szCs w:val="21"/>
                <w:lang w:eastAsia="cs-CZ"/>
              </w:rPr>
              <w:t>%</w:t>
            </w:r>
          </w:p>
        </w:tc>
        <w:tc>
          <w:tcPr>
            <w:tcW w:w="992" w:type="dxa"/>
            <w:tcBorders>
              <w:top w:val="nil"/>
              <w:left w:val="nil"/>
              <w:bottom w:val="single" w:sz="12" w:space="0" w:color="4F81BD"/>
              <w:right w:val="nil"/>
            </w:tcBorders>
            <w:shd w:val="clear" w:color="000000" w:fill="DCE6F1"/>
            <w:noWrap/>
            <w:vAlign w:val="center"/>
            <w:hideMark/>
          </w:tcPr>
          <w:p w14:paraId="00CDCF98" w14:textId="7DA1A823"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2,0</w:t>
            </w:r>
            <w:r w:rsidR="00A54B63">
              <w:rPr>
                <w:rFonts w:ascii="Calibri" w:eastAsia="Times New Roman" w:hAnsi="Calibri" w:cs="Calibri"/>
                <w:color w:val="000000"/>
                <w:szCs w:val="21"/>
                <w:lang w:eastAsia="cs-CZ"/>
              </w:rPr>
              <w:t xml:space="preserve"> </w:t>
            </w:r>
            <w:r w:rsidRPr="00F815A4">
              <w:rPr>
                <w:rFonts w:ascii="Calibri" w:eastAsia="Times New Roman" w:hAnsi="Calibri" w:cs="Calibri"/>
                <w:color w:val="000000"/>
                <w:szCs w:val="21"/>
                <w:lang w:eastAsia="cs-CZ"/>
              </w:rPr>
              <w:t>%</w:t>
            </w:r>
          </w:p>
        </w:tc>
        <w:tc>
          <w:tcPr>
            <w:tcW w:w="992" w:type="dxa"/>
            <w:tcBorders>
              <w:top w:val="nil"/>
              <w:left w:val="nil"/>
              <w:bottom w:val="single" w:sz="12" w:space="0" w:color="4F81BD"/>
              <w:right w:val="nil"/>
            </w:tcBorders>
            <w:shd w:val="clear" w:color="auto" w:fill="auto"/>
            <w:noWrap/>
            <w:vAlign w:val="center"/>
            <w:hideMark/>
          </w:tcPr>
          <w:p w14:paraId="72A1A826" w14:textId="3DBC432C"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2,2</w:t>
            </w:r>
            <w:r w:rsidR="00A54B63">
              <w:rPr>
                <w:rFonts w:ascii="Calibri" w:eastAsia="Times New Roman" w:hAnsi="Calibri" w:cs="Calibri"/>
                <w:color w:val="000000"/>
                <w:szCs w:val="21"/>
                <w:lang w:eastAsia="cs-CZ"/>
              </w:rPr>
              <w:t xml:space="preserve"> </w:t>
            </w:r>
            <w:r w:rsidRPr="00F815A4">
              <w:rPr>
                <w:rFonts w:ascii="Calibri" w:eastAsia="Times New Roman" w:hAnsi="Calibri" w:cs="Calibri"/>
                <w:color w:val="000000"/>
                <w:szCs w:val="21"/>
                <w:lang w:eastAsia="cs-CZ"/>
              </w:rPr>
              <w:t>%</w:t>
            </w:r>
          </w:p>
        </w:tc>
        <w:tc>
          <w:tcPr>
            <w:tcW w:w="993" w:type="dxa"/>
            <w:tcBorders>
              <w:top w:val="nil"/>
              <w:left w:val="nil"/>
              <w:bottom w:val="single" w:sz="12" w:space="0" w:color="4F81BD"/>
              <w:right w:val="nil"/>
            </w:tcBorders>
            <w:shd w:val="clear" w:color="000000" w:fill="DCE6F1"/>
            <w:noWrap/>
            <w:vAlign w:val="center"/>
            <w:hideMark/>
          </w:tcPr>
          <w:p w14:paraId="3EBCB7E7" w14:textId="7A69BD95"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2,5</w:t>
            </w:r>
            <w:r w:rsidR="00A54B63">
              <w:rPr>
                <w:rFonts w:ascii="Calibri" w:eastAsia="Times New Roman" w:hAnsi="Calibri" w:cs="Calibri"/>
                <w:color w:val="000000"/>
                <w:szCs w:val="21"/>
                <w:lang w:eastAsia="cs-CZ"/>
              </w:rPr>
              <w:t xml:space="preserve"> </w:t>
            </w:r>
            <w:r w:rsidRPr="00F815A4">
              <w:rPr>
                <w:rFonts w:ascii="Calibri" w:eastAsia="Times New Roman" w:hAnsi="Calibri" w:cs="Calibri"/>
                <w:color w:val="000000"/>
                <w:szCs w:val="21"/>
                <w:lang w:eastAsia="cs-CZ"/>
              </w:rPr>
              <w:t>%</w:t>
            </w:r>
          </w:p>
        </w:tc>
        <w:tc>
          <w:tcPr>
            <w:tcW w:w="992" w:type="dxa"/>
            <w:tcBorders>
              <w:top w:val="nil"/>
              <w:left w:val="nil"/>
              <w:bottom w:val="single" w:sz="12" w:space="0" w:color="4F81BD"/>
              <w:right w:val="nil"/>
            </w:tcBorders>
            <w:shd w:val="clear" w:color="auto" w:fill="auto"/>
            <w:noWrap/>
            <w:vAlign w:val="center"/>
            <w:hideMark/>
          </w:tcPr>
          <w:p w14:paraId="68E7FA8C" w14:textId="459AEBB9"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2,2</w:t>
            </w:r>
            <w:r w:rsidR="00A54B63">
              <w:rPr>
                <w:rFonts w:ascii="Calibri" w:eastAsia="Times New Roman" w:hAnsi="Calibri" w:cs="Calibri"/>
                <w:color w:val="000000"/>
                <w:szCs w:val="21"/>
                <w:lang w:eastAsia="cs-CZ"/>
              </w:rPr>
              <w:t xml:space="preserve"> </w:t>
            </w:r>
            <w:r w:rsidRPr="00F815A4">
              <w:rPr>
                <w:rFonts w:ascii="Calibri" w:eastAsia="Times New Roman" w:hAnsi="Calibri" w:cs="Calibri"/>
                <w:color w:val="000000"/>
                <w:szCs w:val="21"/>
                <w:lang w:eastAsia="cs-CZ"/>
              </w:rPr>
              <w:t>%</w:t>
            </w:r>
          </w:p>
        </w:tc>
        <w:tc>
          <w:tcPr>
            <w:tcW w:w="865" w:type="dxa"/>
            <w:tcBorders>
              <w:top w:val="nil"/>
              <w:left w:val="nil"/>
              <w:bottom w:val="single" w:sz="12" w:space="0" w:color="4F81BD"/>
              <w:right w:val="single" w:sz="12" w:space="0" w:color="4F81BD"/>
            </w:tcBorders>
            <w:shd w:val="clear" w:color="000000" w:fill="DCE6F1"/>
            <w:noWrap/>
            <w:vAlign w:val="center"/>
            <w:hideMark/>
          </w:tcPr>
          <w:p w14:paraId="2683C0B3" w14:textId="6351F5F1" w:rsidR="00F815A4" w:rsidRPr="00F815A4" w:rsidRDefault="00F815A4" w:rsidP="00EF7638">
            <w:pPr>
              <w:spacing w:after="0" w:line="240" w:lineRule="auto"/>
              <w:jc w:val="right"/>
              <w:rPr>
                <w:rFonts w:ascii="Calibri" w:eastAsia="Times New Roman" w:hAnsi="Calibri" w:cs="Calibri"/>
                <w:color w:val="000000"/>
                <w:szCs w:val="21"/>
                <w:lang w:eastAsia="cs-CZ"/>
              </w:rPr>
            </w:pPr>
            <w:r w:rsidRPr="00F815A4">
              <w:rPr>
                <w:rFonts w:ascii="Calibri" w:eastAsia="Times New Roman" w:hAnsi="Calibri" w:cs="Calibri"/>
                <w:color w:val="000000"/>
                <w:szCs w:val="21"/>
                <w:lang w:eastAsia="cs-CZ"/>
              </w:rPr>
              <w:t>2,4</w:t>
            </w:r>
            <w:r w:rsidR="00A54B63">
              <w:rPr>
                <w:rFonts w:ascii="Calibri" w:eastAsia="Times New Roman" w:hAnsi="Calibri" w:cs="Calibri"/>
                <w:color w:val="000000"/>
                <w:szCs w:val="21"/>
                <w:lang w:eastAsia="cs-CZ"/>
              </w:rPr>
              <w:t xml:space="preserve"> </w:t>
            </w:r>
            <w:r w:rsidRPr="00F815A4">
              <w:rPr>
                <w:rFonts w:ascii="Calibri" w:eastAsia="Times New Roman" w:hAnsi="Calibri" w:cs="Calibri"/>
                <w:color w:val="000000"/>
                <w:szCs w:val="21"/>
                <w:lang w:eastAsia="cs-CZ"/>
              </w:rPr>
              <w:t>%</w:t>
            </w:r>
          </w:p>
        </w:tc>
      </w:tr>
    </w:tbl>
    <w:p w14:paraId="4A8211CE" w14:textId="5CB157D2" w:rsidR="001B7505" w:rsidRPr="001B7505" w:rsidRDefault="001B7505" w:rsidP="001B7505">
      <w:pPr>
        <w:rPr>
          <w:lang w:bidi="hi-IN"/>
        </w:rPr>
      </w:pPr>
    </w:p>
    <w:p w14:paraId="05727AB4" w14:textId="768AC5A2" w:rsidR="0046208F" w:rsidRPr="00F815A4" w:rsidRDefault="0046208F" w:rsidP="0046208F">
      <w:pPr>
        <w:spacing w:before="180" w:line="276" w:lineRule="auto"/>
        <w:jc w:val="both"/>
      </w:pPr>
      <w:r w:rsidRPr="00F815A4">
        <w:t xml:space="preserve">V roce </w:t>
      </w:r>
      <w:r w:rsidR="00D37394" w:rsidRPr="00F815A4">
        <w:t>202</w:t>
      </w:r>
      <w:r w:rsidR="00F815A4">
        <w:t>3</w:t>
      </w:r>
      <w:r w:rsidR="00D37394" w:rsidRPr="00F815A4">
        <w:t xml:space="preserve"> </w:t>
      </w:r>
      <w:r w:rsidRPr="00F815A4">
        <w:t>(</w:t>
      </w:r>
      <w:r w:rsidRPr="00F815A4">
        <w:rPr>
          <w:i/>
          <w:iCs/>
        </w:rPr>
        <w:t>Tabulka č. 4</w:t>
      </w:r>
      <w:r w:rsidRPr="00F815A4">
        <w:t xml:space="preserve">) měla nejvyšší </w:t>
      </w:r>
      <w:r w:rsidRPr="00F815A4">
        <w:rPr>
          <w:b/>
          <w:bCs/>
        </w:rPr>
        <w:t>výdaje na zdravotní služby ze ZFZP</w:t>
      </w:r>
      <w:r w:rsidRPr="00F815A4">
        <w:t xml:space="preserve"> na jednoho pojištěnce VZP ČR</w:t>
      </w:r>
      <w:r w:rsidR="007247AC" w:rsidRPr="00F815A4">
        <w:t>,</w:t>
      </w:r>
      <w:r w:rsidRPr="00F815A4">
        <w:t xml:space="preserve"> nejnižší pak </w:t>
      </w:r>
      <w:r w:rsidR="00D37394" w:rsidRPr="00F815A4">
        <w:t>ČPZP</w:t>
      </w:r>
      <w:r w:rsidRPr="00F815A4">
        <w:t xml:space="preserve">, což může být v obou případech způsobeno strukturou </w:t>
      </w:r>
      <w:r w:rsidR="00D37394" w:rsidRPr="00F815A4">
        <w:t xml:space="preserve">a umístěním </w:t>
      </w:r>
      <w:r w:rsidRPr="00F815A4">
        <w:t xml:space="preserve">pojistného kmene. </w:t>
      </w:r>
    </w:p>
    <w:p w14:paraId="13DA0B4F" w14:textId="63DFC279" w:rsidR="0046208F" w:rsidRPr="00F815A4" w:rsidRDefault="0046208F" w:rsidP="0046208F">
      <w:pPr>
        <w:spacing w:before="180" w:line="276" w:lineRule="auto"/>
        <w:jc w:val="both"/>
      </w:pPr>
      <w:r w:rsidRPr="00F815A4">
        <w:t xml:space="preserve">Úroveň </w:t>
      </w:r>
      <w:r w:rsidRPr="00F815A4">
        <w:rPr>
          <w:b/>
          <w:bCs/>
        </w:rPr>
        <w:t>výdajů na preventivní programy</w:t>
      </w:r>
      <w:r w:rsidRPr="00F815A4">
        <w:t xml:space="preserve"> je pochopitelně odlišná vzhledem k velikosti zdravotních pojišťoven. Při přepočtu na jednoho pojištěnce nejnižší hodnoty dosáhla VZP ČR, naopak tomu bylo v případě </w:t>
      </w:r>
      <w:r w:rsidR="00F815A4" w:rsidRPr="00F815A4">
        <w:t>ZPŠ.</w:t>
      </w:r>
      <w:r w:rsidRPr="00F815A4">
        <w:t xml:space="preserve"> </w:t>
      </w:r>
    </w:p>
    <w:p w14:paraId="2EF086DB" w14:textId="59E511BC" w:rsidR="0046208F" w:rsidRPr="00A83002" w:rsidRDefault="0046208F" w:rsidP="0046208F">
      <w:pPr>
        <w:spacing w:before="180" w:line="276" w:lineRule="auto"/>
        <w:jc w:val="both"/>
      </w:pPr>
      <w:r w:rsidRPr="00A83002">
        <w:t xml:space="preserve">Rovněž absolutně neporovnatelnou veličinu představují </w:t>
      </w:r>
      <w:r w:rsidRPr="00A83002">
        <w:rPr>
          <w:b/>
          <w:bCs/>
        </w:rPr>
        <w:t>výdaje na vlastní činnost</w:t>
      </w:r>
      <w:r w:rsidRPr="00A83002">
        <w:t>, a tak byl určen jejich podíl na celkových výdajích dané zdravotní pojišťovny. Zde</w:t>
      </w:r>
      <w:r w:rsidR="00F815A4" w:rsidRPr="00A83002">
        <w:t xml:space="preserve"> nejvyšší hodnoty dosáhla </w:t>
      </w:r>
      <w:r w:rsidRPr="00A83002">
        <w:t>ZPŠ, naopak nejnižší VZP ČR.</w:t>
      </w:r>
    </w:p>
    <w:p w14:paraId="5C723907" w14:textId="157637A2" w:rsidR="0046208F" w:rsidRPr="00F815A4" w:rsidRDefault="0046208F" w:rsidP="0046208F">
      <w:pPr>
        <w:spacing w:before="180" w:line="276" w:lineRule="auto"/>
        <w:jc w:val="both"/>
      </w:pPr>
      <w:r w:rsidRPr="00F815A4">
        <w:t xml:space="preserve">Podrobnější informace viz tabulková příloha </w:t>
      </w:r>
      <w:r w:rsidRPr="00F815A4">
        <w:rPr>
          <w:i/>
          <w:iCs/>
        </w:rPr>
        <w:t>Tabulka č. 1, str. 4–5</w:t>
      </w:r>
      <w:r w:rsidRPr="00F815A4">
        <w:t>. V</w:t>
      </w:r>
      <w:r w:rsidR="00F815A4" w:rsidRPr="00F815A4">
        <w:t>ývoj výdajů systému v. z. p. 2020</w:t>
      </w:r>
      <w:r w:rsidRPr="00F815A4">
        <w:t xml:space="preserve"> až </w:t>
      </w:r>
      <w:r w:rsidR="00434794" w:rsidRPr="00F815A4">
        <w:t>202</w:t>
      </w:r>
      <w:r w:rsidR="00F815A4" w:rsidRPr="00F815A4">
        <w:t>3</w:t>
      </w:r>
      <w:r w:rsidR="00434794" w:rsidRPr="00F815A4">
        <w:t xml:space="preserve"> </w:t>
      </w:r>
      <w:r w:rsidRPr="00F815A4">
        <w:t xml:space="preserve">viz tabulková příloha </w:t>
      </w:r>
      <w:r w:rsidRPr="00F815A4">
        <w:rPr>
          <w:i/>
          <w:iCs/>
        </w:rPr>
        <w:t>Tabulka č. 4</w:t>
      </w:r>
      <w:r w:rsidRPr="00F815A4">
        <w:t xml:space="preserve">. </w:t>
      </w:r>
    </w:p>
    <w:p w14:paraId="229A607C" w14:textId="77777777" w:rsidR="0046208F" w:rsidRPr="00A36740" w:rsidRDefault="0046208F">
      <w:pPr>
        <w:spacing w:after="200" w:line="276" w:lineRule="auto"/>
        <w:rPr>
          <w:highlight w:val="yellow"/>
        </w:rPr>
      </w:pPr>
      <w:r w:rsidRPr="00A36740">
        <w:rPr>
          <w:highlight w:val="yellow"/>
        </w:rPr>
        <w:br w:type="page"/>
      </w:r>
    </w:p>
    <w:p w14:paraId="310009A1" w14:textId="77777777" w:rsidR="004A72DD" w:rsidRPr="00A83002" w:rsidRDefault="004A72DD" w:rsidP="007327D1">
      <w:pPr>
        <w:pStyle w:val="Nadpis2"/>
      </w:pPr>
      <w:bookmarkStart w:id="18" w:name="_Toc72151508"/>
      <w:bookmarkStart w:id="19" w:name="_Toc169176574"/>
      <w:r w:rsidRPr="00A83002">
        <w:t>Saldo</w:t>
      </w:r>
      <w:bookmarkEnd w:id="18"/>
      <w:bookmarkEnd w:id="19"/>
      <w:r w:rsidRPr="00A83002">
        <w:t xml:space="preserve"> </w:t>
      </w:r>
    </w:p>
    <w:p w14:paraId="697E3523" w14:textId="4474CDC2" w:rsidR="004A72DD" w:rsidRPr="00342B31" w:rsidRDefault="004A72DD" w:rsidP="004A72DD">
      <w:pPr>
        <w:spacing w:line="276" w:lineRule="auto"/>
        <w:jc w:val="both"/>
      </w:pPr>
      <w:r w:rsidRPr="00342B31">
        <w:rPr>
          <w:b/>
          <w:bCs/>
        </w:rPr>
        <w:t>Saldo příjmů a výdajů celkem</w:t>
      </w:r>
      <w:r w:rsidRPr="00342B31">
        <w:t xml:space="preserve"> systému v. z. p. za rok </w:t>
      </w:r>
      <w:r w:rsidR="00434794" w:rsidRPr="00342B31">
        <w:t>202</w:t>
      </w:r>
      <w:r w:rsidR="00342B31" w:rsidRPr="00342B31">
        <w:t>3</w:t>
      </w:r>
      <w:r w:rsidR="00434794" w:rsidRPr="00342B31">
        <w:t xml:space="preserve"> </w:t>
      </w:r>
      <w:r w:rsidRPr="00342B31">
        <w:t xml:space="preserve">činilo cca </w:t>
      </w:r>
      <w:r w:rsidR="000D3243">
        <w:rPr>
          <w:b/>
          <w:bCs/>
        </w:rPr>
        <w:t>−</w:t>
      </w:r>
      <w:r w:rsidR="00342B31" w:rsidRPr="00342B31">
        <w:rPr>
          <w:b/>
          <w:bCs/>
        </w:rPr>
        <w:t>1,7</w:t>
      </w:r>
      <w:r w:rsidRPr="00342B31">
        <w:rPr>
          <w:b/>
          <w:bCs/>
        </w:rPr>
        <w:t xml:space="preserve"> mld. Kč</w:t>
      </w:r>
      <w:r w:rsidRPr="00342B31">
        <w:t xml:space="preserve">, což představuje meziroční </w:t>
      </w:r>
      <w:r w:rsidR="00342B31" w:rsidRPr="00342B31">
        <w:t>zhoršení</w:t>
      </w:r>
      <w:r w:rsidR="00033EAA" w:rsidRPr="00342B31">
        <w:t xml:space="preserve"> </w:t>
      </w:r>
      <w:r w:rsidRPr="00342B31">
        <w:t xml:space="preserve">o </w:t>
      </w:r>
      <w:r w:rsidR="00342B31" w:rsidRPr="00342B31">
        <w:t>6,7</w:t>
      </w:r>
      <w:r w:rsidR="00D001C3" w:rsidRPr="00342B31">
        <w:t xml:space="preserve"> </w:t>
      </w:r>
      <w:r w:rsidRPr="00342B31">
        <w:t xml:space="preserve">mld. Kč. Segment zaměstnaneckých zdravotních pojišťoven </w:t>
      </w:r>
      <w:r w:rsidR="00342B31" w:rsidRPr="00342B31">
        <w:t>vykázal</w:t>
      </w:r>
      <w:r w:rsidRPr="00342B31">
        <w:t xml:space="preserve"> </w:t>
      </w:r>
      <w:r w:rsidR="00D001C3" w:rsidRPr="00342B31">
        <w:t>deficit</w:t>
      </w:r>
      <w:r w:rsidRPr="00342B31">
        <w:t xml:space="preserve"> </w:t>
      </w:r>
      <w:r w:rsidR="00342B31" w:rsidRPr="00342B31">
        <w:t>2,5</w:t>
      </w:r>
      <w:r w:rsidR="00820889" w:rsidRPr="00342B31">
        <w:t> </w:t>
      </w:r>
      <w:r w:rsidRPr="00342B31">
        <w:t>mld. Kč.</w:t>
      </w:r>
    </w:p>
    <w:p w14:paraId="6F543138" w14:textId="5C52A188" w:rsidR="00F656CC" w:rsidRPr="00342B31" w:rsidRDefault="00E6299A" w:rsidP="004A72DD">
      <w:pPr>
        <w:spacing w:line="276" w:lineRule="auto"/>
        <w:jc w:val="both"/>
      </w:pPr>
      <w:r w:rsidRPr="00342B31">
        <w:t>V</w:t>
      </w:r>
      <w:r w:rsidR="004A72DD" w:rsidRPr="00342B31">
        <w:t>šechny zdravotní pojišťovny (</w:t>
      </w:r>
      <w:r w:rsidR="004A72DD" w:rsidRPr="00342B31">
        <w:rPr>
          <w:i/>
          <w:iCs/>
        </w:rPr>
        <w:t>Graf č. 4</w:t>
      </w:r>
      <w:r w:rsidR="004A72DD" w:rsidRPr="00342B31">
        <w:t xml:space="preserve">) </w:t>
      </w:r>
      <w:r w:rsidR="00F656CC" w:rsidRPr="00342B31">
        <w:t>s výjimko</w:t>
      </w:r>
      <w:r w:rsidR="00342B31" w:rsidRPr="00342B31">
        <w:t>u VZP ČR</w:t>
      </w:r>
      <w:r w:rsidR="00F656CC" w:rsidRPr="00342B31">
        <w:t xml:space="preserve"> </w:t>
      </w:r>
      <w:r w:rsidR="004A72DD" w:rsidRPr="00342B31">
        <w:t xml:space="preserve">dosáhly </w:t>
      </w:r>
      <w:r w:rsidR="00D001C3" w:rsidRPr="00342B31">
        <w:t xml:space="preserve">záporného </w:t>
      </w:r>
      <w:r w:rsidR="00342B31" w:rsidRPr="00342B31">
        <w:t>salda hospodaření, jak je patrně z Grafu č. 4:</w:t>
      </w:r>
    </w:p>
    <w:p w14:paraId="2CF908B3" w14:textId="08D12495" w:rsidR="004A72DD" w:rsidRDefault="004A72DD" w:rsidP="004A72DD">
      <w:pPr>
        <w:pStyle w:val="Titulek"/>
      </w:pPr>
      <w:bookmarkStart w:id="20" w:name="_Toc106884098"/>
      <w:r w:rsidRPr="00342B31">
        <w:t xml:space="preserve">Graf č. </w:t>
      </w:r>
      <w:r w:rsidRPr="00342B31">
        <w:rPr>
          <w:noProof/>
        </w:rPr>
        <w:fldChar w:fldCharType="begin"/>
      </w:r>
      <w:r w:rsidRPr="00342B31">
        <w:rPr>
          <w:noProof/>
        </w:rPr>
        <w:instrText xml:space="preserve"> SEQ Graf \* ARABIC </w:instrText>
      </w:r>
      <w:r w:rsidRPr="00342B31">
        <w:rPr>
          <w:noProof/>
        </w:rPr>
        <w:fldChar w:fldCharType="separate"/>
      </w:r>
      <w:r w:rsidR="00904274">
        <w:rPr>
          <w:noProof/>
        </w:rPr>
        <w:t>4</w:t>
      </w:r>
      <w:r w:rsidRPr="00342B31">
        <w:rPr>
          <w:noProof/>
        </w:rPr>
        <w:fldChar w:fldCharType="end"/>
      </w:r>
      <w:r w:rsidRPr="00342B31">
        <w:t xml:space="preserve">: Saldo příjmů a výdajů celkem </w:t>
      </w:r>
      <w:r w:rsidR="00D001C3" w:rsidRPr="00342B31">
        <w:t>202</w:t>
      </w:r>
      <w:bookmarkEnd w:id="20"/>
      <w:r w:rsidR="00342B31" w:rsidRPr="00342B31">
        <w:t>3</w:t>
      </w:r>
    </w:p>
    <w:p w14:paraId="79317135" w14:textId="5161BFC4" w:rsidR="00342B31" w:rsidRPr="00342B31" w:rsidRDefault="00342B31" w:rsidP="00342B31">
      <w:pPr>
        <w:jc w:val="center"/>
        <w:rPr>
          <w:lang w:bidi="hi-IN"/>
        </w:rPr>
      </w:pPr>
      <w:r>
        <w:rPr>
          <w:noProof/>
          <w:lang w:eastAsia="cs-CZ"/>
        </w:rPr>
        <w:drawing>
          <wp:inline distT="0" distB="0" distL="0" distR="0" wp14:anchorId="432C8637" wp14:editId="5C30F32E">
            <wp:extent cx="5292090" cy="3009900"/>
            <wp:effectExtent l="0" t="0" r="381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92090" cy="3009900"/>
                    </a:xfrm>
                    <a:prstGeom prst="rect">
                      <a:avLst/>
                    </a:prstGeom>
                    <a:noFill/>
                  </pic:spPr>
                </pic:pic>
              </a:graphicData>
            </a:graphic>
          </wp:inline>
        </w:drawing>
      </w:r>
    </w:p>
    <w:p w14:paraId="7AEE6417" w14:textId="0C976C63" w:rsidR="004A72DD" w:rsidRPr="00AA54E9" w:rsidRDefault="004A72DD" w:rsidP="004A72DD">
      <w:pPr>
        <w:spacing w:line="276" w:lineRule="auto"/>
        <w:jc w:val="both"/>
      </w:pPr>
      <w:r w:rsidRPr="00AA54E9">
        <w:t>Vývoj rozdílu mezi příjmy a výdaji</w:t>
      </w:r>
      <w:r w:rsidR="00AA54E9" w:rsidRPr="00AA54E9">
        <w:t xml:space="preserve"> (Graf č. 5)</w:t>
      </w:r>
      <w:r w:rsidRPr="00AA54E9">
        <w:t xml:space="preserve"> v delším časovém horizontu ukazuje, že od roku 2014 pře</w:t>
      </w:r>
      <w:r w:rsidR="008C21C3" w:rsidRPr="00AA54E9">
        <w:t>vyšovaly příjmy výdaje systému</w:t>
      </w:r>
      <w:r w:rsidRPr="00AA54E9">
        <w:t xml:space="preserve">, což </w:t>
      </w:r>
      <w:r w:rsidR="006F3B62" w:rsidRPr="00AA54E9">
        <w:t xml:space="preserve">byla </w:t>
      </w:r>
      <w:r w:rsidRPr="00AA54E9">
        <w:t>velmi kladná tendence z hlediska vytvoření rezerv pro případ nepříznivého vývo</w:t>
      </w:r>
      <w:r w:rsidR="00AA54E9">
        <w:t>je. V</w:t>
      </w:r>
      <w:r w:rsidR="001A5D7F">
        <w:t> letech 2021 a 2023 se systém propadl do deficitu.</w:t>
      </w:r>
    </w:p>
    <w:p w14:paraId="3D09675A" w14:textId="3736A88D" w:rsidR="004F7D67" w:rsidRDefault="004F7D67" w:rsidP="004F7D67">
      <w:pPr>
        <w:pStyle w:val="Titulek"/>
      </w:pPr>
      <w:bookmarkStart w:id="21" w:name="_Toc106884100"/>
      <w:r w:rsidRPr="00AA54E9">
        <w:t xml:space="preserve">Graf č. </w:t>
      </w:r>
      <w:r w:rsidR="00AA54E9" w:rsidRPr="00AA54E9">
        <w:rPr>
          <w:noProof/>
        </w:rPr>
        <w:t>5</w:t>
      </w:r>
      <w:r w:rsidRPr="00AA54E9">
        <w:t>: Vývoj salda příjmů a výdajů systému veřejného zdravotního pojištění 2009–</w:t>
      </w:r>
      <w:r w:rsidR="006F3B62" w:rsidRPr="00AA54E9">
        <w:t>202</w:t>
      </w:r>
      <w:bookmarkEnd w:id="21"/>
      <w:r w:rsidR="00AA54E9" w:rsidRPr="00AA54E9">
        <w:t>3</w:t>
      </w:r>
    </w:p>
    <w:p w14:paraId="2E05A71F" w14:textId="0A2001A8" w:rsidR="00AA54E9" w:rsidRPr="00AA54E9" w:rsidRDefault="00AA54E9" w:rsidP="001A5D7F">
      <w:pPr>
        <w:jc w:val="center"/>
        <w:rPr>
          <w:lang w:bidi="hi-IN"/>
        </w:rPr>
      </w:pPr>
      <w:r>
        <w:rPr>
          <w:noProof/>
          <w:lang w:eastAsia="cs-CZ"/>
        </w:rPr>
        <w:drawing>
          <wp:inline distT="0" distB="0" distL="0" distR="0" wp14:anchorId="39EFF7AE" wp14:editId="334170F7">
            <wp:extent cx="5102860" cy="2472055"/>
            <wp:effectExtent l="0" t="0" r="2540" b="444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02860" cy="2472055"/>
                    </a:xfrm>
                    <a:prstGeom prst="rect">
                      <a:avLst/>
                    </a:prstGeom>
                    <a:noFill/>
                  </pic:spPr>
                </pic:pic>
              </a:graphicData>
            </a:graphic>
          </wp:inline>
        </w:drawing>
      </w:r>
    </w:p>
    <w:p w14:paraId="0828FABB" w14:textId="7097949C" w:rsidR="00436F6E" w:rsidRPr="00A36740" w:rsidRDefault="004F7D67" w:rsidP="00904274">
      <w:pPr>
        <w:spacing w:before="180" w:line="276" w:lineRule="auto"/>
        <w:jc w:val="both"/>
        <w:rPr>
          <w:rFonts w:eastAsia="Times New Roman" w:cs="Arial"/>
          <w:b/>
          <w:sz w:val="28"/>
          <w:szCs w:val="28"/>
          <w:highlight w:val="yellow"/>
          <w:lang w:eastAsia="cs-CZ"/>
        </w:rPr>
      </w:pPr>
      <w:r w:rsidRPr="00AA54E9">
        <w:t xml:space="preserve">Podrobnější informace viz tabulková příloha </w:t>
      </w:r>
      <w:r w:rsidRPr="00AA54E9">
        <w:rPr>
          <w:i/>
          <w:iCs/>
        </w:rPr>
        <w:t>Tabulka č. 1, str. 6</w:t>
      </w:r>
      <w:r w:rsidR="00AA54E9" w:rsidRPr="00AA54E9">
        <w:t>. Vývoj salda v. z. p. 2020</w:t>
      </w:r>
      <w:r w:rsidRPr="00AA54E9">
        <w:t xml:space="preserve"> až </w:t>
      </w:r>
      <w:r w:rsidR="003A20A1" w:rsidRPr="00AA54E9">
        <w:t>202</w:t>
      </w:r>
      <w:r w:rsidR="00AA54E9" w:rsidRPr="00AA54E9">
        <w:t>3</w:t>
      </w:r>
      <w:r w:rsidR="003A20A1" w:rsidRPr="00AA54E9">
        <w:t xml:space="preserve"> </w:t>
      </w:r>
      <w:r w:rsidRPr="00AA54E9">
        <w:t xml:space="preserve">viz tabulková příloha </w:t>
      </w:r>
      <w:r w:rsidRPr="00AA54E9">
        <w:rPr>
          <w:i/>
          <w:iCs/>
        </w:rPr>
        <w:t>Tabulka č. 4</w:t>
      </w:r>
      <w:r w:rsidR="001A5D7F">
        <w:t>.</w:t>
      </w:r>
      <w:r w:rsidR="00436F6E" w:rsidRPr="00A36740">
        <w:rPr>
          <w:highlight w:val="yellow"/>
        </w:rPr>
        <w:br w:type="page"/>
      </w:r>
    </w:p>
    <w:p w14:paraId="246742A1" w14:textId="77777777" w:rsidR="00A91064" w:rsidRPr="0090490A" w:rsidRDefault="00A91064" w:rsidP="007327D1">
      <w:pPr>
        <w:pStyle w:val="Nadpis2"/>
      </w:pPr>
      <w:bookmarkStart w:id="22" w:name="_Toc72151509"/>
      <w:bookmarkStart w:id="23" w:name="_Toc169176575"/>
      <w:r w:rsidRPr="0090490A">
        <w:t>Pohledávky a závazky</w:t>
      </w:r>
      <w:bookmarkEnd w:id="22"/>
      <w:bookmarkEnd w:id="23"/>
      <w:r w:rsidRPr="0090490A">
        <w:t xml:space="preserve"> </w:t>
      </w:r>
    </w:p>
    <w:p w14:paraId="2873E040" w14:textId="34F47B75" w:rsidR="00A91064" w:rsidRPr="00A36740" w:rsidRDefault="00A91064" w:rsidP="00A91064">
      <w:pPr>
        <w:jc w:val="both"/>
        <w:rPr>
          <w:highlight w:val="yellow"/>
        </w:rPr>
      </w:pPr>
      <w:r w:rsidRPr="00FF5F4B">
        <w:rPr>
          <w:b/>
          <w:bCs/>
        </w:rPr>
        <w:t>Stav pohledávek v. z. p. celkem</w:t>
      </w:r>
      <w:r w:rsidRPr="00FF5F4B">
        <w:t xml:space="preserve"> (v čisté výši bez opravných položek) k 31. 12. </w:t>
      </w:r>
      <w:r w:rsidR="00971ED0" w:rsidRPr="00FF5F4B">
        <w:t>202</w:t>
      </w:r>
      <w:r w:rsidR="00FF5F4B" w:rsidRPr="00FF5F4B">
        <w:t>3</w:t>
      </w:r>
      <w:r w:rsidR="00971ED0" w:rsidRPr="00FF5F4B">
        <w:t xml:space="preserve"> </w:t>
      </w:r>
      <w:r w:rsidRPr="00FF5F4B">
        <w:t xml:space="preserve">byl </w:t>
      </w:r>
      <w:r w:rsidR="00FF5F4B" w:rsidRPr="00FF5F4B">
        <w:rPr>
          <w:b/>
          <w:bCs/>
        </w:rPr>
        <w:t>58</w:t>
      </w:r>
      <w:r w:rsidR="00646372" w:rsidRPr="00FF5F4B">
        <w:rPr>
          <w:b/>
          <w:bCs/>
        </w:rPr>
        <w:t xml:space="preserve">,8 </w:t>
      </w:r>
      <w:r w:rsidRPr="00FF5F4B">
        <w:rPr>
          <w:b/>
          <w:bCs/>
        </w:rPr>
        <w:t>mld. Kč</w:t>
      </w:r>
      <w:r w:rsidRPr="00FF5F4B">
        <w:t>, došlo ta</w:t>
      </w:r>
      <w:r w:rsidR="00FF5F4B" w:rsidRPr="00FF5F4B">
        <w:t>k k jejich meziročnímu růstu o 6</w:t>
      </w:r>
      <w:r w:rsidRPr="00FF5F4B">
        <w:t>,</w:t>
      </w:r>
      <w:r w:rsidR="00FF5F4B" w:rsidRPr="00FF5F4B">
        <w:t>1</w:t>
      </w:r>
      <w:r w:rsidRPr="00FF5F4B">
        <w:t xml:space="preserve"> mld. Kč (</w:t>
      </w:r>
      <w:r w:rsidR="00FF5F4B" w:rsidRPr="00FF5F4B">
        <w:t>11,5</w:t>
      </w:r>
      <w:r w:rsidR="00EF7E64" w:rsidRPr="00FF5F4B">
        <w:t xml:space="preserve"> </w:t>
      </w:r>
      <w:r w:rsidRPr="00D93067">
        <w:t>%). Pohledávky za plátci pojistného</w:t>
      </w:r>
      <w:r w:rsidR="00D93067" w:rsidRPr="00D93067">
        <w:t xml:space="preserve"> po lhůtě splatnosti</w:t>
      </w:r>
      <w:r w:rsidRPr="00D93067">
        <w:t xml:space="preserve"> činily </w:t>
      </w:r>
      <w:r w:rsidR="00D93067" w:rsidRPr="00D93067">
        <w:t>20,9 </w:t>
      </w:r>
      <w:r w:rsidRPr="00D93067">
        <w:t xml:space="preserve">mld. Kč, tj. </w:t>
      </w:r>
      <w:r w:rsidR="00D93067" w:rsidRPr="00D93067">
        <w:t>35,5</w:t>
      </w:r>
      <w:r w:rsidRPr="00D93067">
        <w:t> %.</w:t>
      </w:r>
    </w:p>
    <w:p w14:paraId="006EAEDA" w14:textId="77777777" w:rsidR="00A91064" w:rsidRPr="00D93067" w:rsidRDefault="00A91064" w:rsidP="00A91064">
      <w:pPr>
        <w:spacing w:before="180" w:line="276" w:lineRule="auto"/>
        <w:jc w:val="both"/>
      </w:pPr>
      <w:r w:rsidRPr="00D93067">
        <w:t>Následující tabulka (</w:t>
      </w:r>
      <w:r w:rsidRPr="00D93067">
        <w:rPr>
          <w:i/>
          <w:iCs/>
        </w:rPr>
        <w:t>Tabulka č. 5</w:t>
      </w:r>
      <w:r w:rsidRPr="00D93067">
        <w:t>) uvádí vybrané indikátory v oblasti pohledávkově-závazkových vztahů pro jednotlivé pojišťovny a dále pak vývoj souvisejících kategorií (dohadné položky, opravné položky, roční odstranění tvrdosti, rezervy na soudní spory a stav půjček a úvěrů).</w:t>
      </w:r>
    </w:p>
    <w:p w14:paraId="31368C21" w14:textId="54922DD6" w:rsidR="00A91064" w:rsidRDefault="00A91064" w:rsidP="00A91064">
      <w:pPr>
        <w:pStyle w:val="Titulek"/>
        <w:jc w:val="both"/>
      </w:pPr>
      <w:bookmarkStart w:id="24" w:name="_Toc168993230"/>
      <w:r w:rsidRPr="00B444E9">
        <w:t xml:space="preserve">Tabulka č. </w:t>
      </w:r>
      <w:r w:rsidR="00E364A2">
        <w:fldChar w:fldCharType="begin"/>
      </w:r>
      <w:r w:rsidR="00E364A2">
        <w:instrText xml:space="preserve"> SEQ Tabulka \* ARABIC </w:instrText>
      </w:r>
      <w:r w:rsidR="00E364A2">
        <w:fldChar w:fldCharType="separate"/>
      </w:r>
      <w:r w:rsidR="00904274">
        <w:rPr>
          <w:noProof/>
        </w:rPr>
        <w:t>5</w:t>
      </w:r>
      <w:r w:rsidR="00E364A2">
        <w:rPr>
          <w:noProof/>
        </w:rPr>
        <w:fldChar w:fldCharType="end"/>
      </w:r>
      <w:r w:rsidRPr="00B444E9">
        <w:t xml:space="preserve">: Vybrané ukazatele </w:t>
      </w:r>
      <w:r w:rsidR="00EF7E64" w:rsidRPr="00B444E9">
        <w:t>202</w:t>
      </w:r>
      <w:r w:rsidR="00B444E9" w:rsidRPr="00B444E9">
        <w:t>3</w:t>
      </w:r>
      <w:r w:rsidR="00EF7E64" w:rsidRPr="00B444E9">
        <w:t xml:space="preserve"> </w:t>
      </w:r>
      <w:r w:rsidRPr="00B444E9">
        <w:t>dle zdravotních pojišťoven</w:t>
      </w:r>
      <w:bookmarkEnd w:id="24"/>
    </w:p>
    <w:tbl>
      <w:tblPr>
        <w:tblW w:w="9923" w:type="dxa"/>
        <w:tblInd w:w="-154" w:type="dxa"/>
        <w:tblCellMar>
          <w:left w:w="70" w:type="dxa"/>
          <w:right w:w="70" w:type="dxa"/>
        </w:tblCellMar>
        <w:tblLook w:val="04A0" w:firstRow="1" w:lastRow="0" w:firstColumn="1" w:lastColumn="0" w:noHBand="0" w:noVBand="1"/>
      </w:tblPr>
      <w:tblGrid>
        <w:gridCol w:w="2977"/>
        <w:gridCol w:w="992"/>
        <w:gridCol w:w="992"/>
        <w:gridCol w:w="993"/>
        <w:gridCol w:w="992"/>
        <w:gridCol w:w="992"/>
        <w:gridCol w:w="992"/>
        <w:gridCol w:w="993"/>
      </w:tblGrid>
      <w:tr w:rsidR="00B444E9" w:rsidRPr="00B444E9" w14:paraId="19B40C36" w14:textId="77777777" w:rsidTr="00EF7638">
        <w:trPr>
          <w:trHeight w:val="290"/>
        </w:trPr>
        <w:tc>
          <w:tcPr>
            <w:tcW w:w="2977" w:type="dxa"/>
            <w:tcBorders>
              <w:top w:val="nil"/>
              <w:left w:val="nil"/>
              <w:bottom w:val="nil"/>
              <w:right w:val="nil"/>
            </w:tcBorders>
            <w:shd w:val="clear" w:color="auto" w:fill="auto"/>
            <w:noWrap/>
            <w:vAlign w:val="bottom"/>
            <w:hideMark/>
          </w:tcPr>
          <w:p w14:paraId="7CB7DD0B" w14:textId="77777777" w:rsidR="00B444E9" w:rsidRPr="00B444E9" w:rsidRDefault="00B444E9" w:rsidP="00B444E9">
            <w:pPr>
              <w:spacing w:after="0" w:line="240" w:lineRule="auto"/>
              <w:rPr>
                <w:rFonts w:ascii="Times New Roman" w:eastAsia="Times New Roman" w:hAnsi="Times New Roman" w:cs="Times New Roman"/>
                <w:sz w:val="16"/>
                <w:szCs w:val="16"/>
                <w:lang w:eastAsia="cs-CZ"/>
              </w:rPr>
            </w:pPr>
          </w:p>
        </w:tc>
        <w:tc>
          <w:tcPr>
            <w:tcW w:w="992" w:type="dxa"/>
            <w:vMerge w:val="restart"/>
            <w:tcBorders>
              <w:top w:val="single" w:sz="12" w:space="0" w:color="4F81BD"/>
              <w:left w:val="nil"/>
              <w:bottom w:val="nil"/>
              <w:right w:val="nil"/>
            </w:tcBorders>
            <w:shd w:val="clear" w:color="000000" w:fill="6691C6"/>
            <w:noWrap/>
            <w:vAlign w:val="center"/>
            <w:hideMark/>
          </w:tcPr>
          <w:p w14:paraId="34A7F87E" w14:textId="77777777" w:rsidR="00B444E9" w:rsidRPr="00B444E9" w:rsidRDefault="00B444E9" w:rsidP="00B444E9">
            <w:pPr>
              <w:spacing w:after="0" w:line="240" w:lineRule="auto"/>
              <w:jc w:val="center"/>
              <w:rPr>
                <w:rFonts w:ascii="Calibri" w:eastAsia="Times New Roman" w:hAnsi="Calibri" w:cs="Calibri"/>
                <w:b/>
                <w:bCs/>
                <w:color w:val="FFFFFF"/>
                <w:szCs w:val="21"/>
                <w:lang w:eastAsia="cs-CZ"/>
              </w:rPr>
            </w:pPr>
            <w:r w:rsidRPr="00B444E9">
              <w:rPr>
                <w:rFonts w:ascii="Calibri" w:eastAsia="Times New Roman" w:hAnsi="Calibri" w:cs="Calibri"/>
                <w:b/>
                <w:bCs/>
                <w:color w:val="FFFFFF"/>
                <w:szCs w:val="21"/>
                <w:lang w:eastAsia="cs-CZ"/>
              </w:rPr>
              <w:t>VZP ČR</w:t>
            </w:r>
          </w:p>
        </w:tc>
        <w:tc>
          <w:tcPr>
            <w:tcW w:w="992" w:type="dxa"/>
            <w:vMerge w:val="restart"/>
            <w:tcBorders>
              <w:top w:val="single" w:sz="12" w:space="0" w:color="4F81BD"/>
              <w:left w:val="nil"/>
              <w:bottom w:val="nil"/>
              <w:right w:val="nil"/>
            </w:tcBorders>
            <w:shd w:val="clear" w:color="000000" w:fill="4F81BD"/>
            <w:noWrap/>
            <w:vAlign w:val="center"/>
            <w:hideMark/>
          </w:tcPr>
          <w:p w14:paraId="2AF4B93D" w14:textId="77777777" w:rsidR="00B444E9" w:rsidRPr="00B444E9" w:rsidRDefault="00B444E9" w:rsidP="00B444E9">
            <w:pPr>
              <w:spacing w:after="0" w:line="240" w:lineRule="auto"/>
              <w:jc w:val="center"/>
              <w:rPr>
                <w:rFonts w:ascii="Calibri" w:eastAsia="Times New Roman" w:hAnsi="Calibri" w:cs="Calibri"/>
                <w:b/>
                <w:bCs/>
                <w:color w:val="FFFFFF"/>
                <w:szCs w:val="21"/>
                <w:lang w:eastAsia="cs-CZ"/>
              </w:rPr>
            </w:pPr>
            <w:r w:rsidRPr="00B444E9">
              <w:rPr>
                <w:rFonts w:ascii="Calibri" w:eastAsia="Times New Roman" w:hAnsi="Calibri" w:cs="Calibri"/>
                <w:b/>
                <w:bCs/>
                <w:color w:val="FFFFFF"/>
                <w:szCs w:val="21"/>
                <w:lang w:eastAsia="cs-CZ"/>
              </w:rPr>
              <w:t>VoZP ČR</w:t>
            </w:r>
          </w:p>
        </w:tc>
        <w:tc>
          <w:tcPr>
            <w:tcW w:w="993" w:type="dxa"/>
            <w:vMerge w:val="restart"/>
            <w:tcBorders>
              <w:top w:val="single" w:sz="12" w:space="0" w:color="4F81BD"/>
              <w:left w:val="nil"/>
              <w:bottom w:val="nil"/>
              <w:right w:val="nil"/>
            </w:tcBorders>
            <w:shd w:val="clear" w:color="000000" w:fill="6691C6"/>
            <w:noWrap/>
            <w:vAlign w:val="center"/>
            <w:hideMark/>
          </w:tcPr>
          <w:p w14:paraId="09732D3C" w14:textId="77777777" w:rsidR="00B444E9" w:rsidRPr="00B444E9" w:rsidRDefault="00B444E9" w:rsidP="00B444E9">
            <w:pPr>
              <w:spacing w:after="0" w:line="240" w:lineRule="auto"/>
              <w:jc w:val="center"/>
              <w:rPr>
                <w:rFonts w:ascii="Calibri" w:eastAsia="Times New Roman" w:hAnsi="Calibri" w:cs="Calibri"/>
                <w:b/>
                <w:bCs/>
                <w:color w:val="FFFFFF"/>
                <w:szCs w:val="21"/>
                <w:lang w:eastAsia="cs-CZ"/>
              </w:rPr>
            </w:pPr>
            <w:r w:rsidRPr="00B444E9">
              <w:rPr>
                <w:rFonts w:ascii="Calibri" w:eastAsia="Times New Roman" w:hAnsi="Calibri" w:cs="Calibri"/>
                <w:b/>
                <w:bCs/>
                <w:color w:val="FFFFFF"/>
                <w:szCs w:val="21"/>
                <w:lang w:eastAsia="cs-CZ"/>
              </w:rPr>
              <w:t>ČPZP</w:t>
            </w:r>
          </w:p>
        </w:tc>
        <w:tc>
          <w:tcPr>
            <w:tcW w:w="992" w:type="dxa"/>
            <w:vMerge w:val="restart"/>
            <w:tcBorders>
              <w:top w:val="single" w:sz="12" w:space="0" w:color="4F81BD"/>
              <w:left w:val="nil"/>
              <w:bottom w:val="nil"/>
              <w:right w:val="nil"/>
            </w:tcBorders>
            <w:shd w:val="clear" w:color="000000" w:fill="4F81BD"/>
            <w:vAlign w:val="center"/>
            <w:hideMark/>
          </w:tcPr>
          <w:p w14:paraId="229B02A2" w14:textId="77777777" w:rsidR="00B444E9" w:rsidRPr="00B444E9" w:rsidRDefault="00B444E9" w:rsidP="00B444E9">
            <w:pPr>
              <w:spacing w:after="0" w:line="240" w:lineRule="auto"/>
              <w:jc w:val="center"/>
              <w:rPr>
                <w:rFonts w:ascii="Calibri" w:eastAsia="Times New Roman" w:hAnsi="Calibri" w:cs="Calibri"/>
                <w:b/>
                <w:bCs/>
                <w:color w:val="FFFFFF"/>
                <w:szCs w:val="21"/>
                <w:lang w:eastAsia="cs-CZ"/>
              </w:rPr>
            </w:pPr>
            <w:r w:rsidRPr="00B444E9">
              <w:rPr>
                <w:rFonts w:ascii="Calibri" w:eastAsia="Times New Roman" w:hAnsi="Calibri" w:cs="Calibri"/>
                <w:b/>
                <w:bCs/>
                <w:color w:val="FFFFFF"/>
                <w:szCs w:val="21"/>
                <w:lang w:eastAsia="cs-CZ"/>
              </w:rPr>
              <w:t>OZP</w:t>
            </w:r>
          </w:p>
        </w:tc>
        <w:tc>
          <w:tcPr>
            <w:tcW w:w="992" w:type="dxa"/>
            <w:vMerge w:val="restart"/>
            <w:tcBorders>
              <w:top w:val="single" w:sz="12" w:space="0" w:color="4F81BD"/>
              <w:left w:val="nil"/>
              <w:bottom w:val="nil"/>
              <w:right w:val="nil"/>
            </w:tcBorders>
            <w:shd w:val="clear" w:color="000000" w:fill="6691C6"/>
            <w:vAlign w:val="center"/>
            <w:hideMark/>
          </w:tcPr>
          <w:p w14:paraId="2FC0BE4B" w14:textId="77777777" w:rsidR="00B444E9" w:rsidRPr="00B444E9" w:rsidRDefault="00B444E9" w:rsidP="00B444E9">
            <w:pPr>
              <w:spacing w:after="0" w:line="240" w:lineRule="auto"/>
              <w:jc w:val="center"/>
              <w:rPr>
                <w:rFonts w:ascii="Calibri" w:eastAsia="Times New Roman" w:hAnsi="Calibri" w:cs="Calibri"/>
                <w:b/>
                <w:bCs/>
                <w:color w:val="FFFFFF"/>
                <w:szCs w:val="21"/>
                <w:lang w:eastAsia="cs-CZ"/>
              </w:rPr>
            </w:pPr>
            <w:r w:rsidRPr="00B444E9">
              <w:rPr>
                <w:rFonts w:ascii="Calibri" w:eastAsia="Times New Roman" w:hAnsi="Calibri" w:cs="Calibri"/>
                <w:b/>
                <w:bCs/>
                <w:color w:val="FFFFFF"/>
                <w:szCs w:val="21"/>
                <w:lang w:eastAsia="cs-CZ"/>
              </w:rPr>
              <w:t>ZPŠ</w:t>
            </w:r>
          </w:p>
        </w:tc>
        <w:tc>
          <w:tcPr>
            <w:tcW w:w="992" w:type="dxa"/>
            <w:vMerge w:val="restart"/>
            <w:tcBorders>
              <w:top w:val="single" w:sz="12" w:space="0" w:color="4F81BD"/>
              <w:left w:val="nil"/>
              <w:bottom w:val="nil"/>
              <w:right w:val="nil"/>
            </w:tcBorders>
            <w:shd w:val="clear" w:color="000000" w:fill="4F81BD"/>
            <w:vAlign w:val="center"/>
            <w:hideMark/>
          </w:tcPr>
          <w:p w14:paraId="10511AFE" w14:textId="77777777" w:rsidR="00B444E9" w:rsidRPr="00B444E9" w:rsidRDefault="00B444E9" w:rsidP="00B444E9">
            <w:pPr>
              <w:spacing w:after="0" w:line="240" w:lineRule="auto"/>
              <w:jc w:val="center"/>
              <w:rPr>
                <w:rFonts w:ascii="Calibri" w:eastAsia="Times New Roman" w:hAnsi="Calibri" w:cs="Calibri"/>
                <w:b/>
                <w:bCs/>
                <w:color w:val="FFFFFF"/>
                <w:szCs w:val="21"/>
                <w:lang w:eastAsia="cs-CZ"/>
              </w:rPr>
            </w:pPr>
            <w:r w:rsidRPr="00B444E9">
              <w:rPr>
                <w:rFonts w:ascii="Calibri" w:eastAsia="Times New Roman" w:hAnsi="Calibri" w:cs="Calibri"/>
                <w:b/>
                <w:bCs/>
                <w:color w:val="FFFFFF"/>
                <w:szCs w:val="21"/>
                <w:lang w:eastAsia="cs-CZ"/>
              </w:rPr>
              <w:t>ZP MV ČR</w:t>
            </w:r>
          </w:p>
        </w:tc>
        <w:tc>
          <w:tcPr>
            <w:tcW w:w="993" w:type="dxa"/>
            <w:vMerge w:val="restart"/>
            <w:tcBorders>
              <w:top w:val="single" w:sz="12" w:space="0" w:color="4F81BD"/>
              <w:left w:val="nil"/>
              <w:bottom w:val="nil"/>
              <w:right w:val="single" w:sz="12" w:space="0" w:color="4F81BD"/>
            </w:tcBorders>
            <w:shd w:val="clear" w:color="000000" w:fill="6691C6"/>
            <w:vAlign w:val="center"/>
            <w:hideMark/>
          </w:tcPr>
          <w:p w14:paraId="12852A4A" w14:textId="77777777" w:rsidR="00B444E9" w:rsidRPr="00B444E9" w:rsidRDefault="00B444E9" w:rsidP="00B444E9">
            <w:pPr>
              <w:spacing w:after="0" w:line="240" w:lineRule="auto"/>
              <w:jc w:val="center"/>
              <w:rPr>
                <w:rFonts w:ascii="Calibri" w:eastAsia="Times New Roman" w:hAnsi="Calibri" w:cs="Calibri"/>
                <w:b/>
                <w:bCs/>
                <w:color w:val="FFFFFF"/>
                <w:szCs w:val="21"/>
                <w:lang w:eastAsia="cs-CZ"/>
              </w:rPr>
            </w:pPr>
            <w:r w:rsidRPr="00B444E9">
              <w:rPr>
                <w:rFonts w:ascii="Calibri" w:eastAsia="Times New Roman" w:hAnsi="Calibri" w:cs="Calibri"/>
                <w:b/>
                <w:bCs/>
                <w:color w:val="FFFFFF"/>
                <w:szCs w:val="21"/>
                <w:lang w:eastAsia="cs-CZ"/>
              </w:rPr>
              <w:t>RBP</w:t>
            </w:r>
          </w:p>
        </w:tc>
      </w:tr>
      <w:tr w:rsidR="00B444E9" w:rsidRPr="00B444E9" w14:paraId="2A3C3C04" w14:textId="77777777" w:rsidTr="00EF7638">
        <w:trPr>
          <w:trHeight w:val="280"/>
        </w:trPr>
        <w:tc>
          <w:tcPr>
            <w:tcW w:w="2977" w:type="dxa"/>
            <w:tcBorders>
              <w:top w:val="nil"/>
              <w:left w:val="single" w:sz="12" w:space="0" w:color="4F81BD"/>
              <w:bottom w:val="nil"/>
              <w:right w:val="nil"/>
            </w:tcBorders>
            <w:shd w:val="clear" w:color="000000" w:fill="4F81BD"/>
            <w:vAlign w:val="center"/>
            <w:hideMark/>
          </w:tcPr>
          <w:p w14:paraId="2B45375B" w14:textId="77777777" w:rsidR="00B444E9" w:rsidRPr="00B444E9" w:rsidRDefault="00B444E9" w:rsidP="00B444E9">
            <w:pPr>
              <w:spacing w:after="0" w:line="240" w:lineRule="auto"/>
              <w:rPr>
                <w:rFonts w:ascii="Calibri" w:eastAsia="Times New Roman" w:hAnsi="Calibri" w:cs="Calibri"/>
                <w:b/>
                <w:bCs/>
                <w:i/>
                <w:iCs/>
                <w:color w:val="FFFFFF"/>
                <w:szCs w:val="21"/>
                <w:lang w:eastAsia="cs-CZ"/>
              </w:rPr>
            </w:pPr>
            <w:r w:rsidRPr="00B444E9">
              <w:rPr>
                <w:rFonts w:ascii="Calibri" w:eastAsia="Times New Roman" w:hAnsi="Calibri" w:cs="Calibri"/>
                <w:b/>
                <w:bCs/>
                <w:i/>
                <w:iCs/>
                <w:color w:val="FFFFFF"/>
                <w:szCs w:val="21"/>
                <w:lang w:eastAsia="cs-CZ"/>
              </w:rPr>
              <w:t>(v mil. Kč )</w:t>
            </w:r>
          </w:p>
        </w:tc>
        <w:tc>
          <w:tcPr>
            <w:tcW w:w="992" w:type="dxa"/>
            <w:vMerge/>
            <w:tcBorders>
              <w:top w:val="single" w:sz="12" w:space="0" w:color="4F81BD"/>
              <w:left w:val="nil"/>
              <w:bottom w:val="nil"/>
              <w:right w:val="nil"/>
            </w:tcBorders>
            <w:vAlign w:val="center"/>
            <w:hideMark/>
          </w:tcPr>
          <w:p w14:paraId="19695954"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7994B8FD"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3" w:type="dxa"/>
            <w:vMerge/>
            <w:tcBorders>
              <w:top w:val="single" w:sz="12" w:space="0" w:color="4F81BD"/>
              <w:left w:val="nil"/>
              <w:bottom w:val="nil"/>
              <w:right w:val="nil"/>
            </w:tcBorders>
            <w:vAlign w:val="center"/>
            <w:hideMark/>
          </w:tcPr>
          <w:p w14:paraId="5989BB11"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13DA7071"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3E185CCB"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47ACA4FF"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3" w:type="dxa"/>
            <w:vMerge/>
            <w:tcBorders>
              <w:top w:val="single" w:sz="12" w:space="0" w:color="4F81BD"/>
              <w:left w:val="nil"/>
              <w:bottom w:val="nil"/>
              <w:right w:val="single" w:sz="12" w:space="0" w:color="4F81BD"/>
            </w:tcBorders>
            <w:vAlign w:val="center"/>
            <w:hideMark/>
          </w:tcPr>
          <w:p w14:paraId="4542AEE4"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r>
      <w:tr w:rsidR="00B444E9" w:rsidRPr="00B444E9" w14:paraId="4DA260FC" w14:textId="77777777" w:rsidTr="00EF7638">
        <w:trPr>
          <w:trHeight w:val="260"/>
        </w:trPr>
        <w:tc>
          <w:tcPr>
            <w:tcW w:w="2977" w:type="dxa"/>
            <w:tcBorders>
              <w:top w:val="nil"/>
              <w:left w:val="single" w:sz="12" w:space="0" w:color="4F81BD"/>
              <w:bottom w:val="nil"/>
              <w:right w:val="nil"/>
            </w:tcBorders>
            <w:shd w:val="clear" w:color="000000" w:fill="4F81BD"/>
            <w:vAlign w:val="center"/>
            <w:hideMark/>
          </w:tcPr>
          <w:p w14:paraId="63D74177" w14:textId="77777777" w:rsidR="00B444E9" w:rsidRPr="00B444E9" w:rsidRDefault="00B444E9" w:rsidP="00B444E9">
            <w:pPr>
              <w:spacing w:after="0" w:line="240" w:lineRule="auto"/>
              <w:jc w:val="both"/>
              <w:rPr>
                <w:rFonts w:ascii="Calibri" w:eastAsia="Times New Roman" w:hAnsi="Calibri" w:cs="Calibri"/>
                <w:i/>
                <w:iCs/>
                <w:color w:val="FFFFFF"/>
                <w:sz w:val="20"/>
                <w:szCs w:val="20"/>
                <w:lang w:eastAsia="cs-CZ"/>
              </w:rPr>
            </w:pPr>
            <w:r w:rsidRPr="00B444E9">
              <w:rPr>
                <w:rFonts w:ascii="Calibri" w:eastAsia="Times New Roman" w:hAnsi="Calibri" w:cs="Calibri"/>
                <w:i/>
                <w:iCs/>
                <w:color w:val="FFFFFF"/>
                <w:sz w:val="20"/>
                <w:szCs w:val="20"/>
                <w:lang w:eastAsia="cs-CZ"/>
              </w:rPr>
              <w:t>(stav k poslednímu dni roku)</w:t>
            </w:r>
          </w:p>
        </w:tc>
        <w:tc>
          <w:tcPr>
            <w:tcW w:w="992" w:type="dxa"/>
            <w:vMerge/>
            <w:tcBorders>
              <w:top w:val="single" w:sz="12" w:space="0" w:color="4F81BD"/>
              <w:left w:val="nil"/>
              <w:bottom w:val="nil"/>
              <w:right w:val="nil"/>
            </w:tcBorders>
            <w:vAlign w:val="center"/>
            <w:hideMark/>
          </w:tcPr>
          <w:p w14:paraId="53F74E2B"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517E9C97"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3" w:type="dxa"/>
            <w:vMerge/>
            <w:tcBorders>
              <w:top w:val="single" w:sz="12" w:space="0" w:color="4F81BD"/>
              <w:left w:val="nil"/>
              <w:bottom w:val="nil"/>
              <w:right w:val="nil"/>
            </w:tcBorders>
            <w:vAlign w:val="center"/>
            <w:hideMark/>
          </w:tcPr>
          <w:p w14:paraId="014A25F3"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149E8DA2"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21AC35BA"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6695F68C"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c>
          <w:tcPr>
            <w:tcW w:w="993" w:type="dxa"/>
            <w:vMerge/>
            <w:tcBorders>
              <w:top w:val="single" w:sz="12" w:space="0" w:color="4F81BD"/>
              <w:left w:val="nil"/>
              <w:bottom w:val="nil"/>
              <w:right w:val="single" w:sz="12" w:space="0" w:color="4F81BD"/>
            </w:tcBorders>
            <w:vAlign w:val="center"/>
            <w:hideMark/>
          </w:tcPr>
          <w:p w14:paraId="2220567B" w14:textId="77777777" w:rsidR="00B444E9" w:rsidRPr="00B444E9" w:rsidRDefault="00B444E9" w:rsidP="00B444E9">
            <w:pPr>
              <w:spacing w:after="0" w:line="240" w:lineRule="auto"/>
              <w:rPr>
                <w:rFonts w:ascii="Calibri" w:eastAsia="Times New Roman" w:hAnsi="Calibri" w:cs="Calibri"/>
                <w:b/>
                <w:bCs/>
                <w:color w:val="FFFFFF"/>
                <w:szCs w:val="21"/>
                <w:lang w:eastAsia="cs-CZ"/>
              </w:rPr>
            </w:pPr>
          </w:p>
        </w:tc>
      </w:tr>
      <w:tr w:rsidR="00B444E9" w:rsidRPr="00B444E9" w14:paraId="33DAACD5" w14:textId="77777777" w:rsidTr="00EF7638">
        <w:trPr>
          <w:trHeight w:val="280"/>
        </w:trPr>
        <w:tc>
          <w:tcPr>
            <w:tcW w:w="2977" w:type="dxa"/>
            <w:tcBorders>
              <w:top w:val="nil"/>
              <w:left w:val="single" w:sz="12" w:space="0" w:color="4F81BD"/>
              <w:bottom w:val="nil"/>
              <w:right w:val="nil"/>
            </w:tcBorders>
            <w:shd w:val="clear" w:color="auto" w:fill="auto"/>
            <w:vAlign w:val="center"/>
            <w:hideMark/>
          </w:tcPr>
          <w:p w14:paraId="696F7524" w14:textId="77777777" w:rsidR="00B444E9" w:rsidRPr="00B444E9" w:rsidRDefault="00B444E9" w:rsidP="00B444E9">
            <w:pPr>
              <w:spacing w:after="0" w:line="240" w:lineRule="auto"/>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stav pohledávek celkem</w:t>
            </w:r>
          </w:p>
        </w:tc>
        <w:tc>
          <w:tcPr>
            <w:tcW w:w="992" w:type="dxa"/>
            <w:tcBorders>
              <w:top w:val="nil"/>
              <w:left w:val="nil"/>
              <w:bottom w:val="nil"/>
              <w:right w:val="nil"/>
            </w:tcBorders>
            <w:shd w:val="clear" w:color="000000" w:fill="DCE6F1"/>
            <w:noWrap/>
            <w:vAlign w:val="center"/>
            <w:hideMark/>
          </w:tcPr>
          <w:p w14:paraId="73EDDEDC"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31 493</w:t>
            </w:r>
          </w:p>
        </w:tc>
        <w:tc>
          <w:tcPr>
            <w:tcW w:w="992" w:type="dxa"/>
            <w:tcBorders>
              <w:top w:val="nil"/>
              <w:left w:val="nil"/>
              <w:bottom w:val="nil"/>
              <w:right w:val="nil"/>
            </w:tcBorders>
            <w:shd w:val="clear" w:color="auto" w:fill="auto"/>
            <w:noWrap/>
            <w:vAlign w:val="center"/>
            <w:hideMark/>
          </w:tcPr>
          <w:p w14:paraId="078B96A3"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4 640</w:t>
            </w:r>
          </w:p>
        </w:tc>
        <w:tc>
          <w:tcPr>
            <w:tcW w:w="993" w:type="dxa"/>
            <w:tcBorders>
              <w:top w:val="nil"/>
              <w:left w:val="nil"/>
              <w:bottom w:val="nil"/>
              <w:right w:val="nil"/>
            </w:tcBorders>
            <w:shd w:val="clear" w:color="000000" w:fill="DCE6F1"/>
            <w:noWrap/>
            <w:vAlign w:val="center"/>
            <w:hideMark/>
          </w:tcPr>
          <w:p w14:paraId="111E904F"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7 625</w:t>
            </w:r>
          </w:p>
        </w:tc>
        <w:tc>
          <w:tcPr>
            <w:tcW w:w="992" w:type="dxa"/>
            <w:tcBorders>
              <w:top w:val="nil"/>
              <w:left w:val="nil"/>
              <w:bottom w:val="nil"/>
              <w:right w:val="nil"/>
            </w:tcBorders>
            <w:shd w:val="clear" w:color="auto" w:fill="auto"/>
            <w:noWrap/>
            <w:vAlign w:val="center"/>
            <w:hideMark/>
          </w:tcPr>
          <w:p w14:paraId="5C92D6CD"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5 052</w:t>
            </w:r>
          </w:p>
        </w:tc>
        <w:tc>
          <w:tcPr>
            <w:tcW w:w="992" w:type="dxa"/>
            <w:tcBorders>
              <w:top w:val="nil"/>
              <w:left w:val="nil"/>
              <w:bottom w:val="nil"/>
              <w:right w:val="nil"/>
            </w:tcBorders>
            <w:shd w:val="clear" w:color="000000" w:fill="DCE6F1"/>
            <w:noWrap/>
            <w:vAlign w:val="center"/>
            <w:hideMark/>
          </w:tcPr>
          <w:p w14:paraId="084767D8"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1 046</w:t>
            </w:r>
          </w:p>
        </w:tc>
        <w:tc>
          <w:tcPr>
            <w:tcW w:w="992" w:type="dxa"/>
            <w:tcBorders>
              <w:top w:val="nil"/>
              <w:left w:val="nil"/>
              <w:bottom w:val="nil"/>
              <w:right w:val="nil"/>
            </w:tcBorders>
            <w:shd w:val="clear" w:color="auto" w:fill="auto"/>
            <w:noWrap/>
            <w:vAlign w:val="center"/>
            <w:hideMark/>
          </w:tcPr>
          <w:p w14:paraId="36677620"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6 733</w:t>
            </w:r>
          </w:p>
        </w:tc>
        <w:tc>
          <w:tcPr>
            <w:tcW w:w="993" w:type="dxa"/>
            <w:tcBorders>
              <w:top w:val="nil"/>
              <w:left w:val="nil"/>
              <w:bottom w:val="nil"/>
              <w:right w:val="single" w:sz="12" w:space="0" w:color="4F81BD"/>
            </w:tcBorders>
            <w:shd w:val="clear" w:color="000000" w:fill="DCE6F1"/>
            <w:noWrap/>
            <w:vAlign w:val="center"/>
            <w:hideMark/>
          </w:tcPr>
          <w:p w14:paraId="3A2B8D5B"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2 239</w:t>
            </w:r>
          </w:p>
        </w:tc>
      </w:tr>
      <w:tr w:rsidR="00B444E9" w:rsidRPr="00B444E9" w14:paraId="5C681074" w14:textId="77777777" w:rsidTr="00EF7638">
        <w:trPr>
          <w:trHeight w:val="280"/>
        </w:trPr>
        <w:tc>
          <w:tcPr>
            <w:tcW w:w="2977" w:type="dxa"/>
            <w:tcBorders>
              <w:top w:val="nil"/>
              <w:left w:val="single" w:sz="12" w:space="0" w:color="4F81BD"/>
              <w:bottom w:val="nil"/>
              <w:right w:val="nil"/>
            </w:tcBorders>
            <w:shd w:val="clear" w:color="auto" w:fill="auto"/>
            <w:vAlign w:val="center"/>
            <w:hideMark/>
          </w:tcPr>
          <w:p w14:paraId="672539DF" w14:textId="29B41291"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Meziroční změna</w:t>
            </w:r>
          </w:p>
        </w:tc>
        <w:tc>
          <w:tcPr>
            <w:tcW w:w="992" w:type="dxa"/>
            <w:tcBorders>
              <w:top w:val="nil"/>
              <w:left w:val="nil"/>
              <w:bottom w:val="nil"/>
              <w:right w:val="nil"/>
            </w:tcBorders>
            <w:shd w:val="clear" w:color="000000" w:fill="DCE6F1"/>
            <w:noWrap/>
            <w:vAlign w:val="center"/>
            <w:hideMark/>
          </w:tcPr>
          <w:p w14:paraId="1A2A1FB1" w14:textId="7AE8EF4A"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111,31</w:t>
            </w:r>
            <w:r w:rsidR="00860B90">
              <w:rPr>
                <w:rFonts w:ascii="Calibri" w:eastAsia="Times New Roman" w:hAnsi="Calibri" w:cs="Calibri"/>
                <w:b/>
                <w:bCs/>
                <w:color w:val="000000"/>
                <w:szCs w:val="21"/>
                <w:lang w:eastAsia="cs-CZ"/>
              </w:rPr>
              <w:t xml:space="preserve"> %</w:t>
            </w:r>
          </w:p>
        </w:tc>
        <w:tc>
          <w:tcPr>
            <w:tcW w:w="992" w:type="dxa"/>
            <w:tcBorders>
              <w:top w:val="nil"/>
              <w:left w:val="nil"/>
              <w:bottom w:val="nil"/>
              <w:right w:val="nil"/>
            </w:tcBorders>
            <w:shd w:val="clear" w:color="000000" w:fill="DCE6F1"/>
            <w:noWrap/>
            <w:vAlign w:val="center"/>
            <w:hideMark/>
          </w:tcPr>
          <w:p w14:paraId="5D0E908E" w14:textId="52460C15"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107,69</w:t>
            </w:r>
            <w:r w:rsidR="00860B90">
              <w:rPr>
                <w:rFonts w:ascii="Calibri" w:eastAsia="Times New Roman" w:hAnsi="Calibri" w:cs="Calibri"/>
                <w:b/>
                <w:bCs/>
                <w:color w:val="000000"/>
                <w:szCs w:val="21"/>
                <w:lang w:eastAsia="cs-CZ"/>
              </w:rPr>
              <w:t xml:space="preserve"> %</w:t>
            </w:r>
          </w:p>
        </w:tc>
        <w:tc>
          <w:tcPr>
            <w:tcW w:w="993" w:type="dxa"/>
            <w:tcBorders>
              <w:top w:val="nil"/>
              <w:left w:val="nil"/>
              <w:bottom w:val="nil"/>
              <w:right w:val="nil"/>
            </w:tcBorders>
            <w:shd w:val="clear" w:color="000000" w:fill="DCE6F1"/>
            <w:noWrap/>
            <w:vAlign w:val="center"/>
            <w:hideMark/>
          </w:tcPr>
          <w:p w14:paraId="12CC8DD3" w14:textId="12BB06BE"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113,54</w:t>
            </w:r>
            <w:r w:rsidR="00860B90">
              <w:rPr>
                <w:rFonts w:ascii="Calibri" w:eastAsia="Times New Roman" w:hAnsi="Calibri" w:cs="Calibri"/>
                <w:b/>
                <w:bCs/>
                <w:color w:val="000000"/>
                <w:szCs w:val="21"/>
                <w:lang w:eastAsia="cs-CZ"/>
              </w:rPr>
              <w:t xml:space="preserve"> %</w:t>
            </w:r>
          </w:p>
        </w:tc>
        <w:tc>
          <w:tcPr>
            <w:tcW w:w="992" w:type="dxa"/>
            <w:tcBorders>
              <w:top w:val="nil"/>
              <w:left w:val="nil"/>
              <w:bottom w:val="nil"/>
              <w:right w:val="nil"/>
            </w:tcBorders>
            <w:shd w:val="clear" w:color="000000" w:fill="DCE6F1"/>
            <w:noWrap/>
            <w:vAlign w:val="center"/>
            <w:hideMark/>
          </w:tcPr>
          <w:p w14:paraId="4C69A341" w14:textId="5BD96485"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112,68</w:t>
            </w:r>
            <w:r w:rsidR="00860B90">
              <w:rPr>
                <w:rFonts w:ascii="Calibri" w:eastAsia="Times New Roman" w:hAnsi="Calibri" w:cs="Calibri"/>
                <w:b/>
                <w:bCs/>
                <w:color w:val="000000"/>
                <w:szCs w:val="21"/>
                <w:lang w:eastAsia="cs-CZ"/>
              </w:rPr>
              <w:t xml:space="preserve"> %</w:t>
            </w:r>
          </w:p>
        </w:tc>
        <w:tc>
          <w:tcPr>
            <w:tcW w:w="992" w:type="dxa"/>
            <w:tcBorders>
              <w:top w:val="nil"/>
              <w:left w:val="nil"/>
              <w:bottom w:val="nil"/>
              <w:right w:val="nil"/>
            </w:tcBorders>
            <w:shd w:val="clear" w:color="000000" w:fill="DCE6F1"/>
            <w:noWrap/>
            <w:vAlign w:val="center"/>
            <w:hideMark/>
          </w:tcPr>
          <w:p w14:paraId="0BA8D905" w14:textId="0C9397AE"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132,70</w:t>
            </w:r>
            <w:r w:rsidR="00860B90">
              <w:rPr>
                <w:rFonts w:ascii="Calibri" w:eastAsia="Times New Roman" w:hAnsi="Calibri" w:cs="Calibri"/>
                <w:b/>
                <w:bCs/>
                <w:color w:val="000000"/>
                <w:szCs w:val="21"/>
                <w:lang w:eastAsia="cs-CZ"/>
              </w:rPr>
              <w:t xml:space="preserve"> %</w:t>
            </w:r>
          </w:p>
        </w:tc>
        <w:tc>
          <w:tcPr>
            <w:tcW w:w="992" w:type="dxa"/>
            <w:tcBorders>
              <w:top w:val="nil"/>
              <w:left w:val="nil"/>
              <w:bottom w:val="nil"/>
              <w:right w:val="nil"/>
            </w:tcBorders>
            <w:shd w:val="clear" w:color="000000" w:fill="DCE6F1"/>
            <w:noWrap/>
            <w:vAlign w:val="center"/>
            <w:hideMark/>
          </w:tcPr>
          <w:p w14:paraId="679A5793" w14:textId="3A4DFF7B"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112,18</w:t>
            </w:r>
            <w:r w:rsidR="00860B90">
              <w:rPr>
                <w:rFonts w:ascii="Calibri" w:eastAsia="Times New Roman" w:hAnsi="Calibri" w:cs="Calibri"/>
                <w:b/>
                <w:bCs/>
                <w:color w:val="000000"/>
                <w:szCs w:val="21"/>
                <w:lang w:eastAsia="cs-CZ"/>
              </w:rPr>
              <w:t xml:space="preserve"> %</w:t>
            </w:r>
          </w:p>
        </w:tc>
        <w:tc>
          <w:tcPr>
            <w:tcW w:w="993" w:type="dxa"/>
            <w:tcBorders>
              <w:top w:val="nil"/>
              <w:left w:val="nil"/>
              <w:bottom w:val="nil"/>
              <w:right w:val="single" w:sz="12" w:space="0" w:color="4F81BD"/>
            </w:tcBorders>
            <w:shd w:val="clear" w:color="000000" w:fill="DCE6F1"/>
            <w:noWrap/>
            <w:vAlign w:val="center"/>
            <w:hideMark/>
          </w:tcPr>
          <w:p w14:paraId="271E9C8A" w14:textId="34588BC3"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103,43</w:t>
            </w:r>
            <w:r w:rsidR="00860B90">
              <w:rPr>
                <w:rFonts w:ascii="Calibri" w:eastAsia="Times New Roman" w:hAnsi="Calibri" w:cs="Calibri"/>
                <w:b/>
                <w:bCs/>
                <w:color w:val="000000"/>
                <w:szCs w:val="21"/>
                <w:lang w:eastAsia="cs-CZ"/>
              </w:rPr>
              <w:t xml:space="preserve"> %</w:t>
            </w:r>
          </w:p>
        </w:tc>
      </w:tr>
      <w:tr w:rsidR="00B444E9" w:rsidRPr="00B444E9" w14:paraId="74F6CB48" w14:textId="77777777" w:rsidTr="00EF7638">
        <w:trPr>
          <w:trHeight w:val="560"/>
        </w:trPr>
        <w:tc>
          <w:tcPr>
            <w:tcW w:w="2977" w:type="dxa"/>
            <w:tcBorders>
              <w:top w:val="nil"/>
              <w:left w:val="single" w:sz="12" w:space="0" w:color="4F81BD"/>
              <w:bottom w:val="nil"/>
              <w:right w:val="nil"/>
            </w:tcBorders>
            <w:shd w:val="clear" w:color="auto" w:fill="auto"/>
            <w:vAlign w:val="center"/>
            <w:hideMark/>
          </w:tcPr>
          <w:p w14:paraId="1F4C266F" w14:textId="7C38FCDE"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 xml:space="preserve">Pohledávky celkem </w:t>
            </w:r>
            <w:r w:rsidR="00860B90">
              <w:rPr>
                <w:rFonts w:ascii="Calibri" w:eastAsia="Times New Roman" w:hAnsi="Calibri" w:cs="Calibri"/>
                <w:color w:val="000000"/>
                <w:szCs w:val="21"/>
                <w:lang w:eastAsia="cs-CZ"/>
              </w:rPr>
              <w:br/>
            </w:r>
            <w:r w:rsidRPr="00B444E9">
              <w:rPr>
                <w:rFonts w:ascii="Calibri" w:eastAsia="Times New Roman" w:hAnsi="Calibri" w:cs="Calibri"/>
                <w:color w:val="000000"/>
                <w:szCs w:val="21"/>
                <w:lang w:eastAsia="cs-CZ"/>
              </w:rPr>
              <w:t>na 1 pojištěnce (v Kč)</w:t>
            </w:r>
          </w:p>
        </w:tc>
        <w:tc>
          <w:tcPr>
            <w:tcW w:w="992" w:type="dxa"/>
            <w:tcBorders>
              <w:top w:val="nil"/>
              <w:left w:val="nil"/>
              <w:bottom w:val="nil"/>
              <w:right w:val="nil"/>
            </w:tcBorders>
            <w:shd w:val="clear" w:color="000000" w:fill="DCE6F1"/>
            <w:noWrap/>
            <w:vAlign w:val="center"/>
            <w:hideMark/>
          </w:tcPr>
          <w:p w14:paraId="476B2034"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5 112</w:t>
            </w:r>
          </w:p>
        </w:tc>
        <w:tc>
          <w:tcPr>
            <w:tcW w:w="992" w:type="dxa"/>
            <w:tcBorders>
              <w:top w:val="nil"/>
              <w:left w:val="nil"/>
              <w:bottom w:val="nil"/>
              <w:right w:val="nil"/>
            </w:tcBorders>
            <w:shd w:val="clear" w:color="000000" w:fill="DCE6F1"/>
            <w:noWrap/>
            <w:vAlign w:val="center"/>
            <w:hideMark/>
          </w:tcPr>
          <w:p w14:paraId="73BF4759"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6 562</w:t>
            </w:r>
          </w:p>
        </w:tc>
        <w:tc>
          <w:tcPr>
            <w:tcW w:w="993" w:type="dxa"/>
            <w:tcBorders>
              <w:top w:val="nil"/>
              <w:left w:val="nil"/>
              <w:bottom w:val="nil"/>
              <w:right w:val="nil"/>
            </w:tcBorders>
            <w:shd w:val="clear" w:color="000000" w:fill="DCE6F1"/>
            <w:noWrap/>
            <w:vAlign w:val="center"/>
            <w:hideMark/>
          </w:tcPr>
          <w:p w14:paraId="0C212715"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5 815</w:t>
            </w:r>
          </w:p>
        </w:tc>
        <w:tc>
          <w:tcPr>
            <w:tcW w:w="992" w:type="dxa"/>
            <w:tcBorders>
              <w:top w:val="nil"/>
              <w:left w:val="nil"/>
              <w:bottom w:val="nil"/>
              <w:right w:val="nil"/>
            </w:tcBorders>
            <w:shd w:val="clear" w:color="000000" w:fill="DCE6F1"/>
            <w:noWrap/>
            <w:vAlign w:val="center"/>
            <w:hideMark/>
          </w:tcPr>
          <w:p w14:paraId="6EE50CF2"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6 620</w:t>
            </w:r>
          </w:p>
        </w:tc>
        <w:tc>
          <w:tcPr>
            <w:tcW w:w="992" w:type="dxa"/>
            <w:tcBorders>
              <w:top w:val="nil"/>
              <w:left w:val="nil"/>
              <w:bottom w:val="nil"/>
              <w:right w:val="nil"/>
            </w:tcBorders>
            <w:shd w:val="clear" w:color="000000" w:fill="DCE6F1"/>
            <w:noWrap/>
            <w:vAlign w:val="center"/>
            <w:hideMark/>
          </w:tcPr>
          <w:p w14:paraId="642E8238"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7 263</w:t>
            </w:r>
          </w:p>
        </w:tc>
        <w:tc>
          <w:tcPr>
            <w:tcW w:w="992" w:type="dxa"/>
            <w:tcBorders>
              <w:top w:val="nil"/>
              <w:left w:val="nil"/>
              <w:bottom w:val="nil"/>
              <w:right w:val="nil"/>
            </w:tcBorders>
            <w:shd w:val="clear" w:color="000000" w:fill="DCE6F1"/>
            <w:noWrap/>
            <w:vAlign w:val="center"/>
            <w:hideMark/>
          </w:tcPr>
          <w:p w14:paraId="6746842B"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4 983</w:t>
            </w:r>
          </w:p>
        </w:tc>
        <w:tc>
          <w:tcPr>
            <w:tcW w:w="993" w:type="dxa"/>
            <w:tcBorders>
              <w:top w:val="nil"/>
              <w:left w:val="nil"/>
              <w:bottom w:val="nil"/>
              <w:right w:val="single" w:sz="12" w:space="0" w:color="4F81BD"/>
            </w:tcBorders>
            <w:shd w:val="clear" w:color="000000" w:fill="EEF3F8"/>
            <w:noWrap/>
            <w:vAlign w:val="center"/>
            <w:hideMark/>
          </w:tcPr>
          <w:p w14:paraId="1749600F"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5 227</w:t>
            </w:r>
          </w:p>
        </w:tc>
      </w:tr>
      <w:tr w:rsidR="00EF7638" w:rsidRPr="00B444E9" w14:paraId="260817B9" w14:textId="77777777" w:rsidTr="00EF7638">
        <w:trPr>
          <w:trHeight w:val="560"/>
        </w:trPr>
        <w:tc>
          <w:tcPr>
            <w:tcW w:w="2977" w:type="dxa"/>
            <w:tcBorders>
              <w:top w:val="nil"/>
              <w:left w:val="single" w:sz="12" w:space="0" w:color="4F81BD"/>
              <w:bottom w:val="nil"/>
              <w:right w:val="nil"/>
            </w:tcBorders>
            <w:shd w:val="clear" w:color="000000" w:fill="EEF3F8"/>
            <w:vAlign w:val="center"/>
            <w:hideMark/>
          </w:tcPr>
          <w:p w14:paraId="3AE16CF6" w14:textId="77777777"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Pohledávky po lhůtě za plátci pojistného</w:t>
            </w:r>
          </w:p>
        </w:tc>
        <w:tc>
          <w:tcPr>
            <w:tcW w:w="992" w:type="dxa"/>
            <w:tcBorders>
              <w:top w:val="nil"/>
              <w:left w:val="nil"/>
              <w:bottom w:val="nil"/>
              <w:right w:val="nil"/>
            </w:tcBorders>
            <w:shd w:val="clear" w:color="000000" w:fill="EEF3F8"/>
            <w:noWrap/>
            <w:vAlign w:val="center"/>
            <w:hideMark/>
          </w:tcPr>
          <w:p w14:paraId="751DF11B"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9 691</w:t>
            </w:r>
          </w:p>
        </w:tc>
        <w:tc>
          <w:tcPr>
            <w:tcW w:w="992" w:type="dxa"/>
            <w:tcBorders>
              <w:top w:val="nil"/>
              <w:left w:val="nil"/>
              <w:bottom w:val="nil"/>
              <w:right w:val="nil"/>
            </w:tcBorders>
            <w:shd w:val="clear" w:color="000000" w:fill="EEF3F8"/>
            <w:noWrap/>
            <w:vAlign w:val="center"/>
            <w:hideMark/>
          </w:tcPr>
          <w:p w14:paraId="18B78D8D"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2 443</w:t>
            </w:r>
          </w:p>
        </w:tc>
        <w:tc>
          <w:tcPr>
            <w:tcW w:w="993" w:type="dxa"/>
            <w:tcBorders>
              <w:top w:val="nil"/>
              <w:left w:val="nil"/>
              <w:bottom w:val="nil"/>
              <w:right w:val="nil"/>
            </w:tcBorders>
            <w:shd w:val="clear" w:color="000000" w:fill="EEF3F8"/>
            <w:noWrap/>
            <w:vAlign w:val="center"/>
            <w:hideMark/>
          </w:tcPr>
          <w:p w14:paraId="54BE0DB3"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3 361</w:t>
            </w:r>
          </w:p>
        </w:tc>
        <w:tc>
          <w:tcPr>
            <w:tcW w:w="992" w:type="dxa"/>
            <w:tcBorders>
              <w:top w:val="nil"/>
              <w:left w:val="nil"/>
              <w:bottom w:val="nil"/>
              <w:right w:val="nil"/>
            </w:tcBorders>
            <w:shd w:val="clear" w:color="000000" w:fill="EEF3F8"/>
            <w:noWrap/>
            <w:vAlign w:val="center"/>
            <w:hideMark/>
          </w:tcPr>
          <w:p w14:paraId="1A205DB4"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1 760</w:t>
            </w:r>
          </w:p>
        </w:tc>
        <w:tc>
          <w:tcPr>
            <w:tcW w:w="992" w:type="dxa"/>
            <w:tcBorders>
              <w:top w:val="nil"/>
              <w:left w:val="nil"/>
              <w:bottom w:val="nil"/>
              <w:right w:val="nil"/>
            </w:tcBorders>
            <w:shd w:val="clear" w:color="000000" w:fill="EEF3F8"/>
            <w:noWrap/>
            <w:vAlign w:val="center"/>
            <w:hideMark/>
          </w:tcPr>
          <w:p w14:paraId="66B7756A"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115</w:t>
            </w:r>
          </w:p>
        </w:tc>
        <w:tc>
          <w:tcPr>
            <w:tcW w:w="992" w:type="dxa"/>
            <w:tcBorders>
              <w:top w:val="nil"/>
              <w:left w:val="nil"/>
              <w:bottom w:val="nil"/>
              <w:right w:val="nil"/>
            </w:tcBorders>
            <w:shd w:val="clear" w:color="000000" w:fill="EEF3F8"/>
            <w:noWrap/>
            <w:vAlign w:val="center"/>
            <w:hideMark/>
          </w:tcPr>
          <w:p w14:paraId="27205819"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2 451</w:t>
            </w:r>
          </w:p>
        </w:tc>
        <w:tc>
          <w:tcPr>
            <w:tcW w:w="993" w:type="dxa"/>
            <w:tcBorders>
              <w:top w:val="nil"/>
              <w:left w:val="nil"/>
              <w:bottom w:val="nil"/>
              <w:right w:val="single" w:sz="12" w:space="0" w:color="4F81BD"/>
            </w:tcBorders>
            <w:shd w:val="clear" w:color="000000" w:fill="EEF3F8"/>
            <w:noWrap/>
            <w:vAlign w:val="center"/>
            <w:hideMark/>
          </w:tcPr>
          <w:p w14:paraId="1EE082D6"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1 086</w:t>
            </w:r>
          </w:p>
        </w:tc>
      </w:tr>
      <w:tr w:rsidR="00B444E9" w:rsidRPr="00B444E9" w14:paraId="6F1FA562" w14:textId="77777777" w:rsidTr="00EF7638">
        <w:trPr>
          <w:trHeight w:val="255"/>
        </w:trPr>
        <w:tc>
          <w:tcPr>
            <w:tcW w:w="2977" w:type="dxa"/>
            <w:tcBorders>
              <w:top w:val="nil"/>
              <w:left w:val="single" w:sz="12" w:space="0" w:color="4F81BD"/>
              <w:bottom w:val="nil"/>
              <w:right w:val="nil"/>
            </w:tcBorders>
            <w:shd w:val="clear" w:color="auto" w:fill="auto"/>
            <w:vAlign w:val="center"/>
            <w:hideMark/>
          </w:tcPr>
          <w:p w14:paraId="1F82CEBA" w14:textId="77777777"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dohadné položky aktivní</w:t>
            </w:r>
          </w:p>
        </w:tc>
        <w:tc>
          <w:tcPr>
            <w:tcW w:w="992" w:type="dxa"/>
            <w:tcBorders>
              <w:top w:val="nil"/>
              <w:left w:val="nil"/>
              <w:bottom w:val="nil"/>
              <w:right w:val="nil"/>
            </w:tcBorders>
            <w:shd w:val="clear" w:color="000000" w:fill="DCE6F1"/>
            <w:noWrap/>
            <w:vAlign w:val="center"/>
            <w:hideMark/>
          </w:tcPr>
          <w:p w14:paraId="78418A16"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4 521</w:t>
            </w:r>
          </w:p>
        </w:tc>
        <w:tc>
          <w:tcPr>
            <w:tcW w:w="992" w:type="dxa"/>
            <w:tcBorders>
              <w:top w:val="nil"/>
              <w:left w:val="nil"/>
              <w:bottom w:val="nil"/>
              <w:right w:val="nil"/>
            </w:tcBorders>
            <w:shd w:val="clear" w:color="auto" w:fill="auto"/>
            <w:noWrap/>
            <w:vAlign w:val="center"/>
            <w:hideMark/>
          </w:tcPr>
          <w:p w14:paraId="055B6A01"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735</w:t>
            </w:r>
          </w:p>
        </w:tc>
        <w:tc>
          <w:tcPr>
            <w:tcW w:w="993" w:type="dxa"/>
            <w:tcBorders>
              <w:top w:val="nil"/>
              <w:left w:val="nil"/>
              <w:bottom w:val="nil"/>
              <w:right w:val="nil"/>
            </w:tcBorders>
            <w:shd w:val="clear" w:color="000000" w:fill="DCE6F1"/>
            <w:noWrap/>
            <w:vAlign w:val="center"/>
            <w:hideMark/>
          </w:tcPr>
          <w:p w14:paraId="1EFE4D28"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515</w:t>
            </w:r>
          </w:p>
        </w:tc>
        <w:tc>
          <w:tcPr>
            <w:tcW w:w="992" w:type="dxa"/>
            <w:tcBorders>
              <w:top w:val="nil"/>
              <w:left w:val="nil"/>
              <w:bottom w:val="nil"/>
              <w:right w:val="nil"/>
            </w:tcBorders>
            <w:shd w:val="clear" w:color="auto" w:fill="auto"/>
            <w:noWrap/>
            <w:vAlign w:val="center"/>
            <w:hideMark/>
          </w:tcPr>
          <w:p w14:paraId="1CE2B221"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787</w:t>
            </w:r>
          </w:p>
        </w:tc>
        <w:tc>
          <w:tcPr>
            <w:tcW w:w="992" w:type="dxa"/>
            <w:tcBorders>
              <w:top w:val="nil"/>
              <w:left w:val="nil"/>
              <w:bottom w:val="nil"/>
              <w:right w:val="nil"/>
            </w:tcBorders>
            <w:shd w:val="clear" w:color="000000" w:fill="DCE6F1"/>
            <w:noWrap/>
            <w:vAlign w:val="center"/>
            <w:hideMark/>
          </w:tcPr>
          <w:p w14:paraId="3FD8511D"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296</w:t>
            </w:r>
          </w:p>
        </w:tc>
        <w:tc>
          <w:tcPr>
            <w:tcW w:w="992" w:type="dxa"/>
            <w:tcBorders>
              <w:top w:val="nil"/>
              <w:left w:val="nil"/>
              <w:bottom w:val="nil"/>
              <w:right w:val="nil"/>
            </w:tcBorders>
            <w:shd w:val="clear" w:color="auto" w:fill="auto"/>
            <w:noWrap/>
            <w:vAlign w:val="center"/>
            <w:hideMark/>
          </w:tcPr>
          <w:p w14:paraId="68AC970E"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413</w:t>
            </w:r>
          </w:p>
        </w:tc>
        <w:tc>
          <w:tcPr>
            <w:tcW w:w="993" w:type="dxa"/>
            <w:tcBorders>
              <w:top w:val="nil"/>
              <w:left w:val="nil"/>
              <w:bottom w:val="nil"/>
              <w:right w:val="single" w:sz="12" w:space="0" w:color="4F81BD"/>
            </w:tcBorders>
            <w:shd w:val="clear" w:color="000000" w:fill="DCE6F1"/>
            <w:noWrap/>
            <w:vAlign w:val="center"/>
            <w:hideMark/>
          </w:tcPr>
          <w:p w14:paraId="402BE5E7"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185</w:t>
            </w:r>
          </w:p>
        </w:tc>
      </w:tr>
      <w:tr w:rsidR="00EF7638" w:rsidRPr="00B444E9" w14:paraId="7C7AA35D" w14:textId="77777777" w:rsidTr="00EF7638">
        <w:trPr>
          <w:trHeight w:val="280"/>
        </w:trPr>
        <w:tc>
          <w:tcPr>
            <w:tcW w:w="2977" w:type="dxa"/>
            <w:tcBorders>
              <w:top w:val="nil"/>
              <w:left w:val="single" w:sz="12" w:space="0" w:color="4F81BD"/>
              <w:bottom w:val="nil"/>
              <w:right w:val="nil"/>
            </w:tcBorders>
            <w:shd w:val="clear" w:color="000000" w:fill="EEF3F8"/>
            <w:vAlign w:val="center"/>
            <w:hideMark/>
          </w:tcPr>
          <w:p w14:paraId="2C1891F8" w14:textId="77777777"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stav opravných položek</w:t>
            </w:r>
          </w:p>
        </w:tc>
        <w:tc>
          <w:tcPr>
            <w:tcW w:w="992" w:type="dxa"/>
            <w:tcBorders>
              <w:top w:val="nil"/>
              <w:left w:val="nil"/>
              <w:bottom w:val="nil"/>
              <w:right w:val="nil"/>
            </w:tcBorders>
            <w:shd w:val="clear" w:color="000000" w:fill="EEF3F8"/>
            <w:noWrap/>
            <w:vAlign w:val="center"/>
            <w:hideMark/>
          </w:tcPr>
          <w:p w14:paraId="45A4AA30"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26 382</w:t>
            </w:r>
          </w:p>
        </w:tc>
        <w:tc>
          <w:tcPr>
            <w:tcW w:w="992" w:type="dxa"/>
            <w:tcBorders>
              <w:top w:val="nil"/>
              <w:left w:val="nil"/>
              <w:bottom w:val="nil"/>
              <w:right w:val="nil"/>
            </w:tcBorders>
            <w:shd w:val="clear" w:color="000000" w:fill="EEF3F8"/>
            <w:noWrap/>
            <w:vAlign w:val="center"/>
            <w:hideMark/>
          </w:tcPr>
          <w:p w14:paraId="5921DE22"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5 534</w:t>
            </w:r>
          </w:p>
        </w:tc>
        <w:tc>
          <w:tcPr>
            <w:tcW w:w="993" w:type="dxa"/>
            <w:tcBorders>
              <w:top w:val="nil"/>
              <w:left w:val="nil"/>
              <w:bottom w:val="nil"/>
              <w:right w:val="nil"/>
            </w:tcBorders>
            <w:shd w:val="clear" w:color="000000" w:fill="EEF3F8"/>
            <w:noWrap/>
            <w:vAlign w:val="center"/>
            <w:hideMark/>
          </w:tcPr>
          <w:p w14:paraId="0353B15F"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5 710</w:t>
            </w:r>
          </w:p>
        </w:tc>
        <w:tc>
          <w:tcPr>
            <w:tcW w:w="992" w:type="dxa"/>
            <w:tcBorders>
              <w:top w:val="nil"/>
              <w:left w:val="nil"/>
              <w:bottom w:val="nil"/>
              <w:right w:val="nil"/>
            </w:tcBorders>
            <w:shd w:val="clear" w:color="000000" w:fill="EEF3F8"/>
            <w:noWrap/>
            <w:vAlign w:val="center"/>
            <w:hideMark/>
          </w:tcPr>
          <w:p w14:paraId="3CC83605"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2 856</w:t>
            </w:r>
          </w:p>
        </w:tc>
        <w:tc>
          <w:tcPr>
            <w:tcW w:w="992" w:type="dxa"/>
            <w:tcBorders>
              <w:top w:val="nil"/>
              <w:left w:val="nil"/>
              <w:bottom w:val="nil"/>
              <w:right w:val="nil"/>
            </w:tcBorders>
            <w:shd w:val="clear" w:color="000000" w:fill="EEF3F8"/>
            <w:noWrap/>
            <w:vAlign w:val="center"/>
            <w:hideMark/>
          </w:tcPr>
          <w:p w14:paraId="67CD339C"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536</w:t>
            </w:r>
          </w:p>
        </w:tc>
        <w:tc>
          <w:tcPr>
            <w:tcW w:w="992" w:type="dxa"/>
            <w:tcBorders>
              <w:top w:val="nil"/>
              <w:left w:val="nil"/>
              <w:bottom w:val="nil"/>
              <w:right w:val="nil"/>
            </w:tcBorders>
            <w:shd w:val="clear" w:color="000000" w:fill="EEF3F8"/>
            <w:noWrap/>
            <w:vAlign w:val="center"/>
            <w:hideMark/>
          </w:tcPr>
          <w:p w14:paraId="4641D7B1"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4 344</w:t>
            </w:r>
          </w:p>
        </w:tc>
        <w:tc>
          <w:tcPr>
            <w:tcW w:w="993" w:type="dxa"/>
            <w:tcBorders>
              <w:top w:val="nil"/>
              <w:left w:val="nil"/>
              <w:bottom w:val="nil"/>
              <w:right w:val="single" w:sz="12" w:space="0" w:color="4F81BD"/>
            </w:tcBorders>
            <w:shd w:val="clear" w:color="000000" w:fill="EEF3F8"/>
            <w:noWrap/>
            <w:vAlign w:val="center"/>
            <w:hideMark/>
          </w:tcPr>
          <w:p w14:paraId="66FC69FB"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2 551</w:t>
            </w:r>
          </w:p>
        </w:tc>
      </w:tr>
      <w:tr w:rsidR="00B444E9" w:rsidRPr="00B444E9" w14:paraId="79CCC415" w14:textId="77777777" w:rsidTr="00EF7638">
        <w:trPr>
          <w:trHeight w:val="280"/>
        </w:trPr>
        <w:tc>
          <w:tcPr>
            <w:tcW w:w="2977" w:type="dxa"/>
            <w:tcBorders>
              <w:top w:val="nil"/>
              <w:left w:val="single" w:sz="12" w:space="0" w:color="4F81BD"/>
              <w:bottom w:val="nil"/>
              <w:right w:val="nil"/>
            </w:tcBorders>
            <w:shd w:val="clear" w:color="auto" w:fill="auto"/>
            <w:vAlign w:val="center"/>
            <w:hideMark/>
          </w:tcPr>
          <w:p w14:paraId="07DA172E" w14:textId="77777777"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roční odpisy pohledávek</w:t>
            </w:r>
          </w:p>
        </w:tc>
        <w:tc>
          <w:tcPr>
            <w:tcW w:w="992" w:type="dxa"/>
            <w:tcBorders>
              <w:top w:val="nil"/>
              <w:left w:val="nil"/>
              <w:bottom w:val="nil"/>
              <w:right w:val="nil"/>
            </w:tcBorders>
            <w:shd w:val="clear" w:color="000000" w:fill="DCE6F1"/>
            <w:noWrap/>
            <w:vAlign w:val="center"/>
            <w:hideMark/>
          </w:tcPr>
          <w:p w14:paraId="54B804DE"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5 051</w:t>
            </w:r>
          </w:p>
        </w:tc>
        <w:tc>
          <w:tcPr>
            <w:tcW w:w="992" w:type="dxa"/>
            <w:tcBorders>
              <w:top w:val="nil"/>
              <w:left w:val="nil"/>
              <w:bottom w:val="nil"/>
              <w:right w:val="nil"/>
            </w:tcBorders>
            <w:shd w:val="clear" w:color="auto" w:fill="auto"/>
            <w:noWrap/>
            <w:vAlign w:val="center"/>
            <w:hideMark/>
          </w:tcPr>
          <w:p w14:paraId="329FAB97"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171</w:t>
            </w:r>
          </w:p>
        </w:tc>
        <w:tc>
          <w:tcPr>
            <w:tcW w:w="993" w:type="dxa"/>
            <w:tcBorders>
              <w:top w:val="nil"/>
              <w:left w:val="nil"/>
              <w:bottom w:val="nil"/>
              <w:right w:val="nil"/>
            </w:tcBorders>
            <w:shd w:val="clear" w:color="000000" w:fill="DCE6F1"/>
            <w:noWrap/>
            <w:vAlign w:val="center"/>
            <w:hideMark/>
          </w:tcPr>
          <w:p w14:paraId="32868BC2"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554</w:t>
            </w:r>
          </w:p>
        </w:tc>
        <w:tc>
          <w:tcPr>
            <w:tcW w:w="992" w:type="dxa"/>
            <w:tcBorders>
              <w:top w:val="nil"/>
              <w:left w:val="nil"/>
              <w:bottom w:val="nil"/>
              <w:right w:val="nil"/>
            </w:tcBorders>
            <w:shd w:val="clear" w:color="auto" w:fill="auto"/>
            <w:noWrap/>
            <w:vAlign w:val="center"/>
            <w:hideMark/>
          </w:tcPr>
          <w:p w14:paraId="6EAC6B63"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175</w:t>
            </w:r>
          </w:p>
        </w:tc>
        <w:tc>
          <w:tcPr>
            <w:tcW w:w="992" w:type="dxa"/>
            <w:tcBorders>
              <w:top w:val="nil"/>
              <w:left w:val="nil"/>
              <w:bottom w:val="nil"/>
              <w:right w:val="nil"/>
            </w:tcBorders>
            <w:shd w:val="clear" w:color="000000" w:fill="DCE6F1"/>
            <w:noWrap/>
            <w:vAlign w:val="center"/>
            <w:hideMark/>
          </w:tcPr>
          <w:p w14:paraId="67A0B3F7"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32</w:t>
            </w:r>
          </w:p>
        </w:tc>
        <w:tc>
          <w:tcPr>
            <w:tcW w:w="992" w:type="dxa"/>
            <w:tcBorders>
              <w:top w:val="nil"/>
              <w:left w:val="nil"/>
              <w:bottom w:val="nil"/>
              <w:right w:val="nil"/>
            </w:tcBorders>
            <w:shd w:val="clear" w:color="auto" w:fill="auto"/>
            <w:noWrap/>
            <w:vAlign w:val="center"/>
            <w:hideMark/>
          </w:tcPr>
          <w:p w14:paraId="1B250671"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148</w:t>
            </w:r>
          </w:p>
        </w:tc>
        <w:tc>
          <w:tcPr>
            <w:tcW w:w="993" w:type="dxa"/>
            <w:tcBorders>
              <w:top w:val="nil"/>
              <w:left w:val="nil"/>
              <w:bottom w:val="nil"/>
              <w:right w:val="single" w:sz="12" w:space="0" w:color="4F81BD"/>
            </w:tcBorders>
            <w:shd w:val="clear" w:color="000000" w:fill="DCE6F1"/>
            <w:noWrap/>
            <w:vAlign w:val="center"/>
            <w:hideMark/>
          </w:tcPr>
          <w:p w14:paraId="7674CC41"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80</w:t>
            </w:r>
          </w:p>
        </w:tc>
      </w:tr>
      <w:tr w:rsidR="00EF7638" w:rsidRPr="00B444E9" w14:paraId="4EA2B894" w14:textId="77777777" w:rsidTr="00EF7638">
        <w:trPr>
          <w:trHeight w:val="280"/>
        </w:trPr>
        <w:tc>
          <w:tcPr>
            <w:tcW w:w="2977" w:type="dxa"/>
            <w:tcBorders>
              <w:top w:val="nil"/>
              <w:left w:val="single" w:sz="12" w:space="0" w:color="4F81BD"/>
              <w:bottom w:val="nil"/>
              <w:right w:val="nil"/>
            </w:tcBorders>
            <w:shd w:val="clear" w:color="000000" w:fill="EEF3F8"/>
            <w:vAlign w:val="center"/>
            <w:hideMark/>
          </w:tcPr>
          <w:p w14:paraId="3F8B5E2D" w14:textId="77777777"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roční odstranění tvrdosti</w:t>
            </w:r>
          </w:p>
        </w:tc>
        <w:tc>
          <w:tcPr>
            <w:tcW w:w="992" w:type="dxa"/>
            <w:tcBorders>
              <w:top w:val="nil"/>
              <w:left w:val="nil"/>
              <w:bottom w:val="nil"/>
              <w:right w:val="nil"/>
            </w:tcBorders>
            <w:shd w:val="clear" w:color="000000" w:fill="EEF3F8"/>
            <w:noWrap/>
            <w:vAlign w:val="center"/>
            <w:hideMark/>
          </w:tcPr>
          <w:p w14:paraId="60A8CAA0"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95</w:t>
            </w:r>
          </w:p>
        </w:tc>
        <w:tc>
          <w:tcPr>
            <w:tcW w:w="992" w:type="dxa"/>
            <w:tcBorders>
              <w:top w:val="nil"/>
              <w:left w:val="nil"/>
              <w:bottom w:val="nil"/>
              <w:right w:val="nil"/>
            </w:tcBorders>
            <w:shd w:val="clear" w:color="000000" w:fill="EEF3F8"/>
            <w:noWrap/>
            <w:vAlign w:val="center"/>
            <w:hideMark/>
          </w:tcPr>
          <w:p w14:paraId="467233A4"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10</w:t>
            </w:r>
          </w:p>
        </w:tc>
        <w:tc>
          <w:tcPr>
            <w:tcW w:w="993" w:type="dxa"/>
            <w:tcBorders>
              <w:top w:val="nil"/>
              <w:left w:val="nil"/>
              <w:bottom w:val="nil"/>
              <w:right w:val="nil"/>
            </w:tcBorders>
            <w:shd w:val="clear" w:color="000000" w:fill="EEF3F8"/>
            <w:noWrap/>
            <w:vAlign w:val="center"/>
            <w:hideMark/>
          </w:tcPr>
          <w:p w14:paraId="2633FA6A"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27</w:t>
            </w:r>
          </w:p>
        </w:tc>
        <w:tc>
          <w:tcPr>
            <w:tcW w:w="992" w:type="dxa"/>
            <w:tcBorders>
              <w:top w:val="nil"/>
              <w:left w:val="nil"/>
              <w:bottom w:val="nil"/>
              <w:right w:val="nil"/>
            </w:tcBorders>
            <w:shd w:val="clear" w:color="000000" w:fill="EEF3F8"/>
            <w:noWrap/>
            <w:vAlign w:val="center"/>
            <w:hideMark/>
          </w:tcPr>
          <w:p w14:paraId="331A7433"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3</w:t>
            </w:r>
          </w:p>
        </w:tc>
        <w:tc>
          <w:tcPr>
            <w:tcW w:w="992" w:type="dxa"/>
            <w:tcBorders>
              <w:top w:val="nil"/>
              <w:left w:val="nil"/>
              <w:bottom w:val="nil"/>
              <w:right w:val="nil"/>
            </w:tcBorders>
            <w:shd w:val="clear" w:color="000000" w:fill="EEF3F8"/>
            <w:noWrap/>
            <w:vAlign w:val="center"/>
            <w:hideMark/>
          </w:tcPr>
          <w:p w14:paraId="18E88B24"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1</w:t>
            </w:r>
          </w:p>
        </w:tc>
        <w:tc>
          <w:tcPr>
            <w:tcW w:w="992" w:type="dxa"/>
            <w:tcBorders>
              <w:top w:val="nil"/>
              <w:left w:val="nil"/>
              <w:bottom w:val="nil"/>
              <w:right w:val="nil"/>
            </w:tcBorders>
            <w:shd w:val="clear" w:color="000000" w:fill="EEF3F8"/>
            <w:noWrap/>
            <w:vAlign w:val="center"/>
            <w:hideMark/>
          </w:tcPr>
          <w:p w14:paraId="2C2EA9EA"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22</w:t>
            </w:r>
          </w:p>
        </w:tc>
        <w:tc>
          <w:tcPr>
            <w:tcW w:w="993" w:type="dxa"/>
            <w:tcBorders>
              <w:top w:val="nil"/>
              <w:left w:val="nil"/>
              <w:bottom w:val="nil"/>
              <w:right w:val="single" w:sz="12" w:space="0" w:color="4F81BD"/>
            </w:tcBorders>
            <w:shd w:val="clear" w:color="000000" w:fill="EEF3F8"/>
            <w:noWrap/>
            <w:vAlign w:val="center"/>
            <w:hideMark/>
          </w:tcPr>
          <w:p w14:paraId="15393493"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3</w:t>
            </w:r>
          </w:p>
        </w:tc>
      </w:tr>
      <w:tr w:rsidR="00B444E9" w:rsidRPr="00B444E9" w14:paraId="42C5779B" w14:textId="77777777" w:rsidTr="00EF7638">
        <w:trPr>
          <w:trHeight w:val="280"/>
        </w:trPr>
        <w:tc>
          <w:tcPr>
            <w:tcW w:w="2977" w:type="dxa"/>
            <w:tcBorders>
              <w:top w:val="nil"/>
              <w:left w:val="single" w:sz="12" w:space="0" w:color="4F81BD"/>
              <w:bottom w:val="nil"/>
              <w:right w:val="nil"/>
            </w:tcBorders>
            <w:shd w:val="clear" w:color="auto" w:fill="auto"/>
            <w:vAlign w:val="center"/>
            <w:hideMark/>
          </w:tcPr>
          <w:p w14:paraId="538FE30D" w14:textId="77777777" w:rsidR="00B444E9" w:rsidRPr="00B444E9" w:rsidRDefault="00B444E9" w:rsidP="00B444E9">
            <w:pPr>
              <w:spacing w:after="0" w:line="240" w:lineRule="auto"/>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stav závazků celkem</w:t>
            </w:r>
          </w:p>
        </w:tc>
        <w:tc>
          <w:tcPr>
            <w:tcW w:w="992" w:type="dxa"/>
            <w:tcBorders>
              <w:top w:val="nil"/>
              <w:left w:val="nil"/>
              <w:bottom w:val="nil"/>
              <w:right w:val="nil"/>
            </w:tcBorders>
            <w:shd w:val="clear" w:color="000000" w:fill="DCE6F1"/>
            <w:noWrap/>
            <w:vAlign w:val="center"/>
            <w:hideMark/>
          </w:tcPr>
          <w:p w14:paraId="52064908"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35 010</w:t>
            </w:r>
          </w:p>
        </w:tc>
        <w:tc>
          <w:tcPr>
            <w:tcW w:w="992" w:type="dxa"/>
            <w:tcBorders>
              <w:top w:val="nil"/>
              <w:left w:val="nil"/>
              <w:bottom w:val="nil"/>
              <w:right w:val="nil"/>
            </w:tcBorders>
            <w:shd w:val="clear" w:color="auto" w:fill="auto"/>
            <w:noWrap/>
            <w:vAlign w:val="center"/>
            <w:hideMark/>
          </w:tcPr>
          <w:p w14:paraId="562C938B"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6 848</w:t>
            </w:r>
          </w:p>
        </w:tc>
        <w:tc>
          <w:tcPr>
            <w:tcW w:w="993" w:type="dxa"/>
            <w:tcBorders>
              <w:top w:val="nil"/>
              <w:left w:val="nil"/>
              <w:bottom w:val="nil"/>
              <w:right w:val="nil"/>
            </w:tcBorders>
            <w:shd w:val="clear" w:color="000000" w:fill="DCE6F1"/>
            <w:noWrap/>
            <w:vAlign w:val="center"/>
            <w:hideMark/>
          </w:tcPr>
          <w:p w14:paraId="07251AF5"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6 164</w:t>
            </w:r>
          </w:p>
        </w:tc>
        <w:tc>
          <w:tcPr>
            <w:tcW w:w="992" w:type="dxa"/>
            <w:tcBorders>
              <w:top w:val="nil"/>
              <w:left w:val="nil"/>
              <w:bottom w:val="nil"/>
              <w:right w:val="nil"/>
            </w:tcBorders>
            <w:shd w:val="clear" w:color="auto" w:fill="auto"/>
            <w:noWrap/>
            <w:vAlign w:val="center"/>
            <w:hideMark/>
          </w:tcPr>
          <w:p w14:paraId="3587EC37"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4 787</w:t>
            </w:r>
          </w:p>
        </w:tc>
        <w:tc>
          <w:tcPr>
            <w:tcW w:w="992" w:type="dxa"/>
            <w:tcBorders>
              <w:top w:val="nil"/>
              <w:left w:val="nil"/>
              <w:bottom w:val="nil"/>
              <w:right w:val="nil"/>
            </w:tcBorders>
            <w:shd w:val="clear" w:color="000000" w:fill="DCE6F1"/>
            <w:noWrap/>
            <w:vAlign w:val="center"/>
            <w:hideMark/>
          </w:tcPr>
          <w:p w14:paraId="3A7DD133"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722</w:t>
            </w:r>
          </w:p>
        </w:tc>
        <w:tc>
          <w:tcPr>
            <w:tcW w:w="992" w:type="dxa"/>
            <w:tcBorders>
              <w:top w:val="nil"/>
              <w:left w:val="nil"/>
              <w:bottom w:val="nil"/>
              <w:right w:val="nil"/>
            </w:tcBorders>
            <w:shd w:val="clear" w:color="auto" w:fill="auto"/>
            <w:noWrap/>
            <w:vAlign w:val="center"/>
            <w:hideMark/>
          </w:tcPr>
          <w:p w14:paraId="07CF557E"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7 658</w:t>
            </w:r>
          </w:p>
        </w:tc>
        <w:tc>
          <w:tcPr>
            <w:tcW w:w="993" w:type="dxa"/>
            <w:tcBorders>
              <w:top w:val="nil"/>
              <w:left w:val="nil"/>
              <w:bottom w:val="nil"/>
              <w:right w:val="single" w:sz="12" w:space="0" w:color="4F81BD"/>
            </w:tcBorders>
            <w:shd w:val="clear" w:color="000000" w:fill="DCE6F1"/>
            <w:noWrap/>
            <w:vAlign w:val="center"/>
            <w:hideMark/>
          </w:tcPr>
          <w:p w14:paraId="380F6C96"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3 285</w:t>
            </w:r>
          </w:p>
        </w:tc>
      </w:tr>
      <w:tr w:rsidR="00B444E9" w:rsidRPr="00B444E9" w14:paraId="3D59B14B" w14:textId="77777777" w:rsidTr="00EF7638">
        <w:trPr>
          <w:trHeight w:val="280"/>
        </w:trPr>
        <w:tc>
          <w:tcPr>
            <w:tcW w:w="2977" w:type="dxa"/>
            <w:tcBorders>
              <w:top w:val="nil"/>
              <w:left w:val="single" w:sz="12" w:space="0" w:color="4F81BD"/>
              <w:bottom w:val="nil"/>
              <w:right w:val="nil"/>
            </w:tcBorders>
            <w:shd w:val="clear" w:color="auto" w:fill="auto"/>
            <w:vAlign w:val="center"/>
            <w:hideMark/>
          </w:tcPr>
          <w:p w14:paraId="2C8A493B" w14:textId="5C8AE6DF"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Meziroční změna</w:t>
            </w:r>
          </w:p>
        </w:tc>
        <w:tc>
          <w:tcPr>
            <w:tcW w:w="992" w:type="dxa"/>
            <w:tcBorders>
              <w:top w:val="nil"/>
              <w:left w:val="nil"/>
              <w:bottom w:val="nil"/>
              <w:right w:val="nil"/>
            </w:tcBorders>
            <w:shd w:val="clear" w:color="000000" w:fill="DCE6F1"/>
            <w:noWrap/>
            <w:vAlign w:val="center"/>
            <w:hideMark/>
          </w:tcPr>
          <w:p w14:paraId="502820B1" w14:textId="64A178FE"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103,62</w:t>
            </w:r>
            <w:r w:rsidR="00860B90">
              <w:rPr>
                <w:rFonts w:ascii="Calibri" w:eastAsia="Times New Roman" w:hAnsi="Calibri" w:cs="Calibri"/>
                <w:b/>
                <w:bCs/>
                <w:color w:val="000000"/>
                <w:szCs w:val="21"/>
                <w:lang w:eastAsia="cs-CZ"/>
              </w:rPr>
              <w:t xml:space="preserve"> %</w:t>
            </w:r>
          </w:p>
        </w:tc>
        <w:tc>
          <w:tcPr>
            <w:tcW w:w="992" w:type="dxa"/>
            <w:tcBorders>
              <w:top w:val="nil"/>
              <w:left w:val="nil"/>
              <w:bottom w:val="nil"/>
              <w:right w:val="nil"/>
            </w:tcBorders>
            <w:shd w:val="clear" w:color="000000" w:fill="DCE6F1"/>
            <w:noWrap/>
            <w:vAlign w:val="center"/>
            <w:hideMark/>
          </w:tcPr>
          <w:p w14:paraId="2E7B1259" w14:textId="50D2C8D9"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126,20</w:t>
            </w:r>
            <w:r w:rsidR="00860B90">
              <w:rPr>
                <w:rFonts w:ascii="Calibri" w:eastAsia="Times New Roman" w:hAnsi="Calibri" w:cs="Calibri"/>
                <w:b/>
                <w:bCs/>
                <w:color w:val="000000"/>
                <w:szCs w:val="21"/>
                <w:lang w:eastAsia="cs-CZ"/>
              </w:rPr>
              <w:t xml:space="preserve"> %</w:t>
            </w:r>
          </w:p>
        </w:tc>
        <w:tc>
          <w:tcPr>
            <w:tcW w:w="993" w:type="dxa"/>
            <w:tcBorders>
              <w:top w:val="nil"/>
              <w:left w:val="nil"/>
              <w:bottom w:val="nil"/>
              <w:right w:val="nil"/>
            </w:tcBorders>
            <w:shd w:val="clear" w:color="000000" w:fill="DCE6F1"/>
            <w:noWrap/>
            <w:vAlign w:val="center"/>
            <w:hideMark/>
          </w:tcPr>
          <w:p w14:paraId="427BB753" w14:textId="7FE83B3C"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98,85</w:t>
            </w:r>
            <w:r w:rsidR="00860B90">
              <w:rPr>
                <w:rFonts w:ascii="Calibri" w:eastAsia="Times New Roman" w:hAnsi="Calibri" w:cs="Calibri"/>
                <w:b/>
                <w:bCs/>
                <w:color w:val="000000"/>
                <w:szCs w:val="21"/>
                <w:lang w:eastAsia="cs-CZ"/>
              </w:rPr>
              <w:t xml:space="preserve"> %</w:t>
            </w:r>
          </w:p>
        </w:tc>
        <w:tc>
          <w:tcPr>
            <w:tcW w:w="992" w:type="dxa"/>
            <w:tcBorders>
              <w:top w:val="nil"/>
              <w:left w:val="nil"/>
              <w:bottom w:val="nil"/>
              <w:right w:val="nil"/>
            </w:tcBorders>
            <w:shd w:val="clear" w:color="000000" w:fill="DCE6F1"/>
            <w:noWrap/>
            <w:vAlign w:val="center"/>
            <w:hideMark/>
          </w:tcPr>
          <w:p w14:paraId="1F34C093" w14:textId="18C0AC10"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105,60</w:t>
            </w:r>
            <w:r w:rsidR="00860B90">
              <w:rPr>
                <w:rFonts w:ascii="Calibri" w:eastAsia="Times New Roman" w:hAnsi="Calibri" w:cs="Calibri"/>
                <w:b/>
                <w:bCs/>
                <w:color w:val="000000"/>
                <w:szCs w:val="21"/>
                <w:lang w:eastAsia="cs-CZ"/>
              </w:rPr>
              <w:t xml:space="preserve"> %</w:t>
            </w:r>
          </w:p>
        </w:tc>
        <w:tc>
          <w:tcPr>
            <w:tcW w:w="992" w:type="dxa"/>
            <w:tcBorders>
              <w:top w:val="nil"/>
              <w:left w:val="nil"/>
              <w:bottom w:val="nil"/>
              <w:right w:val="nil"/>
            </w:tcBorders>
            <w:shd w:val="clear" w:color="000000" w:fill="DCE6F1"/>
            <w:noWrap/>
            <w:vAlign w:val="center"/>
            <w:hideMark/>
          </w:tcPr>
          <w:p w14:paraId="45CC7D93" w14:textId="2F50AC46"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96,20</w:t>
            </w:r>
            <w:r w:rsidR="00860B90">
              <w:rPr>
                <w:rFonts w:ascii="Calibri" w:eastAsia="Times New Roman" w:hAnsi="Calibri" w:cs="Calibri"/>
                <w:b/>
                <w:bCs/>
                <w:color w:val="000000"/>
                <w:szCs w:val="21"/>
                <w:lang w:eastAsia="cs-CZ"/>
              </w:rPr>
              <w:t xml:space="preserve"> %</w:t>
            </w:r>
          </w:p>
        </w:tc>
        <w:tc>
          <w:tcPr>
            <w:tcW w:w="992" w:type="dxa"/>
            <w:tcBorders>
              <w:top w:val="nil"/>
              <w:left w:val="nil"/>
              <w:bottom w:val="nil"/>
              <w:right w:val="nil"/>
            </w:tcBorders>
            <w:shd w:val="clear" w:color="000000" w:fill="DCE6F1"/>
            <w:noWrap/>
            <w:vAlign w:val="center"/>
            <w:hideMark/>
          </w:tcPr>
          <w:p w14:paraId="50FA56C1" w14:textId="6E7661C9"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106,24</w:t>
            </w:r>
            <w:r w:rsidR="00860B90">
              <w:rPr>
                <w:rFonts w:ascii="Calibri" w:eastAsia="Times New Roman" w:hAnsi="Calibri" w:cs="Calibri"/>
                <w:b/>
                <w:bCs/>
                <w:color w:val="000000"/>
                <w:szCs w:val="21"/>
                <w:lang w:eastAsia="cs-CZ"/>
              </w:rPr>
              <w:t xml:space="preserve"> %</w:t>
            </w:r>
          </w:p>
        </w:tc>
        <w:tc>
          <w:tcPr>
            <w:tcW w:w="993" w:type="dxa"/>
            <w:tcBorders>
              <w:top w:val="nil"/>
              <w:left w:val="nil"/>
              <w:bottom w:val="nil"/>
              <w:right w:val="single" w:sz="12" w:space="0" w:color="4F81BD"/>
            </w:tcBorders>
            <w:shd w:val="clear" w:color="000000" w:fill="DCE6F1"/>
            <w:noWrap/>
            <w:vAlign w:val="center"/>
            <w:hideMark/>
          </w:tcPr>
          <w:p w14:paraId="2EDF0899" w14:textId="5D6205A0"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102,13</w:t>
            </w:r>
            <w:r w:rsidR="00860B90">
              <w:rPr>
                <w:rFonts w:ascii="Calibri" w:eastAsia="Times New Roman" w:hAnsi="Calibri" w:cs="Calibri"/>
                <w:b/>
                <w:bCs/>
                <w:color w:val="000000"/>
                <w:szCs w:val="21"/>
                <w:lang w:eastAsia="cs-CZ"/>
              </w:rPr>
              <w:t xml:space="preserve"> %</w:t>
            </w:r>
          </w:p>
        </w:tc>
      </w:tr>
      <w:tr w:rsidR="00B444E9" w:rsidRPr="00B444E9" w14:paraId="52925733" w14:textId="77777777" w:rsidTr="00EF7638">
        <w:trPr>
          <w:trHeight w:val="560"/>
        </w:trPr>
        <w:tc>
          <w:tcPr>
            <w:tcW w:w="2977" w:type="dxa"/>
            <w:tcBorders>
              <w:top w:val="nil"/>
              <w:left w:val="single" w:sz="12" w:space="0" w:color="4F81BD"/>
              <w:bottom w:val="nil"/>
              <w:right w:val="nil"/>
            </w:tcBorders>
            <w:shd w:val="clear" w:color="auto" w:fill="auto"/>
            <w:vAlign w:val="center"/>
            <w:hideMark/>
          </w:tcPr>
          <w:p w14:paraId="34F370AD" w14:textId="3149D9B2" w:rsidR="00B444E9" w:rsidRPr="00B444E9" w:rsidRDefault="00B444E9" w:rsidP="00B444E9">
            <w:pPr>
              <w:spacing w:after="0" w:line="240" w:lineRule="auto"/>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 xml:space="preserve">Závazky celkem </w:t>
            </w:r>
            <w:r w:rsidR="00860B90">
              <w:rPr>
                <w:rFonts w:ascii="Calibri" w:eastAsia="Times New Roman" w:hAnsi="Calibri" w:cs="Calibri"/>
                <w:b/>
                <w:bCs/>
                <w:color w:val="000000"/>
                <w:szCs w:val="21"/>
                <w:lang w:eastAsia="cs-CZ"/>
              </w:rPr>
              <w:br/>
            </w:r>
            <w:r w:rsidRPr="00B444E9">
              <w:rPr>
                <w:rFonts w:ascii="Calibri" w:eastAsia="Times New Roman" w:hAnsi="Calibri" w:cs="Calibri"/>
                <w:b/>
                <w:bCs/>
                <w:color w:val="000000"/>
                <w:szCs w:val="21"/>
                <w:lang w:eastAsia="cs-CZ"/>
              </w:rPr>
              <w:t>na 1 pojištěnce (v Kč)</w:t>
            </w:r>
          </w:p>
        </w:tc>
        <w:tc>
          <w:tcPr>
            <w:tcW w:w="992" w:type="dxa"/>
            <w:tcBorders>
              <w:top w:val="nil"/>
              <w:left w:val="nil"/>
              <w:bottom w:val="nil"/>
              <w:right w:val="nil"/>
            </w:tcBorders>
            <w:shd w:val="clear" w:color="000000" w:fill="DCE6F1"/>
            <w:noWrap/>
            <w:vAlign w:val="center"/>
            <w:hideMark/>
          </w:tcPr>
          <w:p w14:paraId="7A365BEF"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5 683</w:t>
            </w:r>
          </w:p>
        </w:tc>
        <w:tc>
          <w:tcPr>
            <w:tcW w:w="992" w:type="dxa"/>
            <w:tcBorders>
              <w:top w:val="nil"/>
              <w:left w:val="nil"/>
              <w:bottom w:val="nil"/>
              <w:right w:val="nil"/>
            </w:tcBorders>
            <w:shd w:val="clear" w:color="000000" w:fill="DCE6F1"/>
            <w:noWrap/>
            <w:vAlign w:val="center"/>
            <w:hideMark/>
          </w:tcPr>
          <w:p w14:paraId="1271DDC8"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9 684</w:t>
            </w:r>
          </w:p>
        </w:tc>
        <w:tc>
          <w:tcPr>
            <w:tcW w:w="993" w:type="dxa"/>
            <w:tcBorders>
              <w:top w:val="nil"/>
              <w:left w:val="nil"/>
              <w:bottom w:val="nil"/>
              <w:right w:val="nil"/>
            </w:tcBorders>
            <w:shd w:val="clear" w:color="000000" w:fill="DCE6F1"/>
            <w:noWrap/>
            <w:vAlign w:val="center"/>
            <w:hideMark/>
          </w:tcPr>
          <w:p w14:paraId="3556022C"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4 701</w:t>
            </w:r>
          </w:p>
        </w:tc>
        <w:tc>
          <w:tcPr>
            <w:tcW w:w="992" w:type="dxa"/>
            <w:tcBorders>
              <w:top w:val="nil"/>
              <w:left w:val="nil"/>
              <w:bottom w:val="nil"/>
              <w:right w:val="nil"/>
            </w:tcBorders>
            <w:shd w:val="clear" w:color="000000" w:fill="DCE6F1"/>
            <w:noWrap/>
            <w:vAlign w:val="center"/>
            <w:hideMark/>
          </w:tcPr>
          <w:p w14:paraId="3F9E1485"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6 273</w:t>
            </w:r>
          </w:p>
        </w:tc>
        <w:tc>
          <w:tcPr>
            <w:tcW w:w="992" w:type="dxa"/>
            <w:tcBorders>
              <w:top w:val="nil"/>
              <w:left w:val="nil"/>
              <w:bottom w:val="nil"/>
              <w:right w:val="nil"/>
            </w:tcBorders>
            <w:shd w:val="clear" w:color="000000" w:fill="DCE6F1"/>
            <w:noWrap/>
            <w:vAlign w:val="center"/>
            <w:hideMark/>
          </w:tcPr>
          <w:p w14:paraId="2E86178C"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5 015</w:t>
            </w:r>
          </w:p>
        </w:tc>
        <w:tc>
          <w:tcPr>
            <w:tcW w:w="992" w:type="dxa"/>
            <w:tcBorders>
              <w:top w:val="nil"/>
              <w:left w:val="nil"/>
              <w:bottom w:val="nil"/>
              <w:right w:val="nil"/>
            </w:tcBorders>
            <w:shd w:val="clear" w:color="000000" w:fill="DCE6F1"/>
            <w:noWrap/>
            <w:vAlign w:val="center"/>
            <w:hideMark/>
          </w:tcPr>
          <w:p w14:paraId="6942188B"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5 668</w:t>
            </w:r>
          </w:p>
        </w:tc>
        <w:tc>
          <w:tcPr>
            <w:tcW w:w="993" w:type="dxa"/>
            <w:tcBorders>
              <w:top w:val="nil"/>
              <w:left w:val="nil"/>
              <w:bottom w:val="nil"/>
              <w:right w:val="single" w:sz="12" w:space="0" w:color="4F81BD"/>
            </w:tcBorders>
            <w:shd w:val="clear" w:color="000000" w:fill="DCE6F1"/>
            <w:noWrap/>
            <w:vAlign w:val="center"/>
            <w:hideMark/>
          </w:tcPr>
          <w:p w14:paraId="27B47FAA" w14:textId="77777777" w:rsidR="00B444E9" w:rsidRPr="00B444E9" w:rsidRDefault="00B444E9" w:rsidP="00B444E9">
            <w:pPr>
              <w:spacing w:after="0" w:line="240" w:lineRule="auto"/>
              <w:jc w:val="right"/>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7 668</w:t>
            </w:r>
          </w:p>
        </w:tc>
      </w:tr>
      <w:tr w:rsidR="00EF7638" w:rsidRPr="00B444E9" w14:paraId="61A06A2F" w14:textId="77777777" w:rsidTr="00EF7638">
        <w:trPr>
          <w:trHeight w:val="280"/>
        </w:trPr>
        <w:tc>
          <w:tcPr>
            <w:tcW w:w="2977" w:type="dxa"/>
            <w:tcBorders>
              <w:top w:val="nil"/>
              <w:left w:val="single" w:sz="12" w:space="0" w:color="4F81BD"/>
              <w:bottom w:val="nil"/>
              <w:right w:val="nil"/>
            </w:tcBorders>
            <w:shd w:val="clear" w:color="000000" w:fill="EEF3F8"/>
            <w:vAlign w:val="center"/>
            <w:hideMark/>
          </w:tcPr>
          <w:p w14:paraId="53283371" w14:textId="77777777"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Závazky po lhůtě vůči PZS</w:t>
            </w:r>
          </w:p>
        </w:tc>
        <w:tc>
          <w:tcPr>
            <w:tcW w:w="992" w:type="dxa"/>
            <w:tcBorders>
              <w:top w:val="nil"/>
              <w:left w:val="nil"/>
              <w:bottom w:val="nil"/>
              <w:right w:val="nil"/>
            </w:tcBorders>
            <w:shd w:val="clear" w:color="000000" w:fill="EEF3F8"/>
            <w:noWrap/>
            <w:vAlign w:val="center"/>
            <w:hideMark/>
          </w:tcPr>
          <w:p w14:paraId="484A4FD1"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0</w:t>
            </w:r>
          </w:p>
        </w:tc>
        <w:tc>
          <w:tcPr>
            <w:tcW w:w="992" w:type="dxa"/>
            <w:tcBorders>
              <w:top w:val="nil"/>
              <w:left w:val="nil"/>
              <w:bottom w:val="nil"/>
              <w:right w:val="nil"/>
            </w:tcBorders>
            <w:shd w:val="clear" w:color="000000" w:fill="EEF3F8"/>
            <w:noWrap/>
            <w:vAlign w:val="center"/>
            <w:hideMark/>
          </w:tcPr>
          <w:p w14:paraId="65E4CFA1"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0</w:t>
            </w:r>
          </w:p>
        </w:tc>
        <w:tc>
          <w:tcPr>
            <w:tcW w:w="993" w:type="dxa"/>
            <w:tcBorders>
              <w:top w:val="nil"/>
              <w:left w:val="nil"/>
              <w:bottom w:val="nil"/>
              <w:right w:val="nil"/>
            </w:tcBorders>
            <w:shd w:val="clear" w:color="000000" w:fill="EEF3F8"/>
            <w:noWrap/>
            <w:vAlign w:val="center"/>
            <w:hideMark/>
          </w:tcPr>
          <w:p w14:paraId="15FE3100"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0</w:t>
            </w:r>
          </w:p>
        </w:tc>
        <w:tc>
          <w:tcPr>
            <w:tcW w:w="992" w:type="dxa"/>
            <w:tcBorders>
              <w:top w:val="nil"/>
              <w:left w:val="nil"/>
              <w:bottom w:val="nil"/>
              <w:right w:val="nil"/>
            </w:tcBorders>
            <w:shd w:val="clear" w:color="000000" w:fill="EEF3F8"/>
            <w:noWrap/>
            <w:vAlign w:val="center"/>
            <w:hideMark/>
          </w:tcPr>
          <w:p w14:paraId="53AA9ADA"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0</w:t>
            </w:r>
          </w:p>
        </w:tc>
        <w:tc>
          <w:tcPr>
            <w:tcW w:w="992" w:type="dxa"/>
            <w:tcBorders>
              <w:top w:val="nil"/>
              <w:left w:val="nil"/>
              <w:bottom w:val="nil"/>
              <w:right w:val="nil"/>
            </w:tcBorders>
            <w:shd w:val="clear" w:color="000000" w:fill="EEF3F8"/>
            <w:noWrap/>
            <w:vAlign w:val="center"/>
            <w:hideMark/>
          </w:tcPr>
          <w:p w14:paraId="53036C78"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0</w:t>
            </w:r>
          </w:p>
        </w:tc>
        <w:tc>
          <w:tcPr>
            <w:tcW w:w="992" w:type="dxa"/>
            <w:tcBorders>
              <w:top w:val="nil"/>
              <w:left w:val="nil"/>
              <w:bottom w:val="nil"/>
              <w:right w:val="nil"/>
            </w:tcBorders>
            <w:shd w:val="clear" w:color="000000" w:fill="EEF3F8"/>
            <w:noWrap/>
            <w:vAlign w:val="center"/>
            <w:hideMark/>
          </w:tcPr>
          <w:p w14:paraId="4565182D"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0</w:t>
            </w:r>
          </w:p>
        </w:tc>
        <w:tc>
          <w:tcPr>
            <w:tcW w:w="993" w:type="dxa"/>
            <w:tcBorders>
              <w:top w:val="nil"/>
              <w:left w:val="nil"/>
              <w:bottom w:val="nil"/>
              <w:right w:val="single" w:sz="12" w:space="0" w:color="4F81BD"/>
            </w:tcBorders>
            <w:shd w:val="clear" w:color="000000" w:fill="EEF3F8"/>
            <w:noWrap/>
            <w:vAlign w:val="center"/>
            <w:hideMark/>
          </w:tcPr>
          <w:p w14:paraId="525D555B" w14:textId="77777777" w:rsidR="00B444E9" w:rsidRPr="00B444E9" w:rsidRDefault="00B444E9" w:rsidP="00B444E9">
            <w:pPr>
              <w:spacing w:after="0" w:line="240" w:lineRule="auto"/>
              <w:jc w:val="right"/>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0</w:t>
            </w:r>
          </w:p>
        </w:tc>
      </w:tr>
      <w:tr w:rsidR="00B444E9" w:rsidRPr="00B444E9" w14:paraId="355DBBF3" w14:textId="77777777" w:rsidTr="00EF7638">
        <w:trPr>
          <w:trHeight w:val="280"/>
        </w:trPr>
        <w:tc>
          <w:tcPr>
            <w:tcW w:w="2977" w:type="dxa"/>
            <w:tcBorders>
              <w:top w:val="nil"/>
              <w:left w:val="single" w:sz="12" w:space="0" w:color="4F81BD"/>
              <w:bottom w:val="nil"/>
              <w:right w:val="nil"/>
            </w:tcBorders>
            <w:shd w:val="clear" w:color="auto" w:fill="auto"/>
            <w:vAlign w:val="center"/>
            <w:hideMark/>
          </w:tcPr>
          <w:p w14:paraId="62167D04" w14:textId="77777777"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dohadné položky pasivní</w:t>
            </w:r>
          </w:p>
        </w:tc>
        <w:tc>
          <w:tcPr>
            <w:tcW w:w="992" w:type="dxa"/>
            <w:tcBorders>
              <w:top w:val="nil"/>
              <w:left w:val="nil"/>
              <w:bottom w:val="nil"/>
              <w:right w:val="nil"/>
            </w:tcBorders>
            <w:shd w:val="clear" w:color="000000" w:fill="DCE6F1"/>
            <w:noWrap/>
            <w:vAlign w:val="center"/>
            <w:hideMark/>
          </w:tcPr>
          <w:p w14:paraId="13C6EA88"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11 109</w:t>
            </w:r>
          </w:p>
        </w:tc>
        <w:tc>
          <w:tcPr>
            <w:tcW w:w="992" w:type="dxa"/>
            <w:tcBorders>
              <w:top w:val="nil"/>
              <w:left w:val="nil"/>
              <w:bottom w:val="nil"/>
              <w:right w:val="nil"/>
            </w:tcBorders>
            <w:shd w:val="clear" w:color="auto" w:fill="auto"/>
            <w:noWrap/>
            <w:vAlign w:val="center"/>
            <w:hideMark/>
          </w:tcPr>
          <w:p w14:paraId="51202258"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3 145</w:t>
            </w:r>
          </w:p>
        </w:tc>
        <w:tc>
          <w:tcPr>
            <w:tcW w:w="993" w:type="dxa"/>
            <w:tcBorders>
              <w:top w:val="nil"/>
              <w:left w:val="nil"/>
              <w:bottom w:val="nil"/>
              <w:right w:val="nil"/>
            </w:tcBorders>
            <w:shd w:val="clear" w:color="000000" w:fill="DCE6F1"/>
            <w:noWrap/>
            <w:vAlign w:val="center"/>
            <w:hideMark/>
          </w:tcPr>
          <w:p w14:paraId="58D279FC"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1 786</w:t>
            </w:r>
          </w:p>
        </w:tc>
        <w:tc>
          <w:tcPr>
            <w:tcW w:w="992" w:type="dxa"/>
            <w:tcBorders>
              <w:top w:val="nil"/>
              <w:left w:val="nil"/>
              <w:bottom w:val="nil"/>
              <w:right w:val="nil"/>
            </w:tcBorders>
            <w:shd w:val="clear" w:color="auto" w:fill="auto"/>
            <w:noWrap/>
            <w:vAlign w:val="center"/>
            <w:hideMark/>
          </w:tcPr>
          <w:p w14:paraId="1D9EA798"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1 911</w:t>
            </w:r>
          </w:p>
        </w:tc>
        <w:tc>
          <w:tcPr>
            <w:tcW w:w="992" w:type="dxa"/>
            <w:tcBorders>
              <w:top w:val="nil"/>
              <w:left w:val="nil"/>
              <w:bottom w:val="nil"/>
              <w:right w:val="nil"/>
            </w:tcBorders>
            <w:shd w:val="clear" w:color="000000" w:fill="DCE6F1"/>
            <w:noWrap/>
            <w:vAlign w:val="center"/>
            <w:hideMark/>
          </w:tcPr>
          <w:p w14:paraId="6A902D09"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206</w:t>
            </w:r>
          </w:p>
        </w:tc>
        <w:tc>
          <w:tcPr>
            <w:tcW w:w="992" w:type="dxa"/>
            <w:tcBorders>
              <w:top w:val="nil"/>
              <w:left w:val="nil"/>
              <w:bottom w:val="nil"/>
              <w:right w:val="nil"/>
            </w:tcBorders>
            <w:shd w:val="clear" w:color="auto" w:fill="auto"/>
            <w:noWrap/>
            <w:vAlign w:val="center"/>
            <w:hideMark/>
          </w:tcPr>
          <w:p w14:paraId="381CA2AA"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1 644</w:t>
            </w:r>
          </w:p>
        </w:tc>
        <w:tc>
          <w:tcPr>
            <w:tcW w:w="993" w:type="dxa"/>
            <w:tcBorders>
              <w:top w:val="nil"/>
              <w:left w:val="nil"/>
              <w:bottom w:val="nil"/>
              <w:right w:val="single" w:sz="12" w:space="0" w:color="4F81BD"/>
            </w:tcBorders>
            <w:shd w:val="clear" w:color="000000" w:fill="DCE6F1"/>
            <w:noWrap/>
            <w:vAlign w:val="center"/>
            <w:hideMark/>
          </w:tcPr>
          <w:p w14:paraId="3D9918EB"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1 243</w:t>
            </w:r>
          </w:p>
        </w:tc>
      </w:tr>
      <w:tr w:rsidR="00EF7638" w:rsidRPr="00B444E9" w14:paraId="353B43E5" w14:textId="77777777" w:rsidTr="00EF7638">
        <w:trPr>
          <w:trHeight w:val="280"/>
        </w:trPr>
        <w:tc>
          <w:tcPr>
            <w:tcW w:w="2977" w:type="dxa"/>
            <w:tcBorders>
              <w:top w:val="nil"/>
              <w:left w:val="single" w:sz="12" w:space="0" w:color="4F81BD"/>
              <w:bottom w:val="nil"/>
              <w:right w:val="nil"/>
            </w:tcBorders>
            <w:shd w:val="clear" w:color="000000" w:fill="EEF3F8"/>
            <w:vAlign w:val="center"/>
            <w:hideMark/>
          </w:tcPr>
          <w:p w14:paraId="6800252D" w14:textId="77777777" w:rsidR="00B444E9" w:rsidRPr="00B444E9" w:rsidRDefault="00B444E9" w:rsidP="00B444E9">
            <w:pPr>
              <w:spacing w:after="0" w:line="240" w:lineRule="auto"/>
              <w:rPr>
                <w:rFonts w:ascii="Calibri" w:eastAsia="Times New Roman" w:hAnsi="Calibri" w:cs="Calibri"/>
                <w:color w:val="000000"/>
                <w:szCs w:val="21"/>
                <w:lang w:eastAsia="cs-CZ"/>
              </w:rPr>
            </w:pPr>
            <w:r w:rsidRPr="00B444E9">
              <w:rPr>
                <w:rFonts w:ascii="Calibri" w:eastAsia="Times New Roman" w:hAnsi="Calibri" w:cs="Calibri"/>
                <w:color w:val="000000"/>
                <w:szCs w:val="21"/>
                <w:lang w:eastAsia="cs-CZ"/>
              </w:rPr>
              <w:t>rezervy na soudní spory</w:t>
            </w:r>
          </w:p>
        </w:tc>
        <w:tc>
          <w:tcPr>
            <w:tcW w:w="992" w:type="dxa"/>
            <w:tcBorders>
              <w:top w:val="nil"/>
              <w:left w:val="nil"/>
              <w:bottom w:val="nil"/>
              <w:right w:val="nil"/>
            </w:tcBorders>
            <w:shd w:val="clear" w:color="000000" w:fill="EEF3F8"/>
            <w:noWrap/>
            <w:vAlign w:val="center"/>
            <w:hideMark/>
          </w:tcPr>
          <w:p w14:paraId="689F2F9F"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5</w:t>
            </w:r>
          </w:p>
        </w:tc>
        <w:tc>
          <w:tcPr>
            <w:tcW w:w="992" w:type="dxa"/>
            <w:tcBorders>
              <w:top w:val="nil"/>
              <w:left w:val="nil"/>
              <w:bottom w:val="nil"/>
              <w:right w:val="nil"/>
            </w:tcBorders>
            <w:shd w:val="clear" w:color="000000" w:fill="EEF3F8"/>
            <w:noWrap/>
            <w:vAlign w:val="center"/>
            <w:hideMark/>
          </w:tcPr>
          <w:p w14:paraId="3DF2E5C4"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0</w:t>
            </w:r>
          </w:p>
        </w:tc>
        <w:tc>
          <w:tcPr>
            <w:tcW w:w="993" w:type="dxa"/>
            <w:tcBorders>
              <w:top w:val="nil"/>
              <w:left w:val="nil"/>
              <w:bottom w:val="nil"/>
              <w:right w:val="nil"/>
            </w:tcBorders>
            <w:shd w:val="clear" w:color="000000" w:fill="EEF3F8"/>
            <w:noWrap/>
            <w:vAlign w:val="center"/>
            <w:hideMark/>
          </w:tcPr>
          <w:p w14:paraId="2A656579"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9</w:t>
            </w:r>
          </w:p>
        </w:tc>
        <w:tc>
          <w:tcPr>
            <w:tcW w:w="992" w:type="dxa"/>
            <w:tcBorders>
              <w:top w:val="nil"/>
              <w:left w:val="nil"/>
              <w:bottom w:val="nil"/>
              <w:right w:val="nil"/>
            </w:tcBorders>
            <w:shd w:val="clear" w:color="000000" w:fill="EEF3F8"/>
            <w:noWrap/>
            <w:vAlign w:val="center"/>
            <w:hideMark/>
          </w:tcPr>
          <w:p w14:paraId="0EF2A18F"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12</w:t>
            </w:r>
          </w:p>
        </w:tc>
        <w:tc>
          <w:tcPr>
            <w:tcW w:w="992" w:type="dxa"/>
            <w:tcBorders>
              <w:top w:val="nil"/>
              <w:left w:val="nil"/>
              <w:bottom w:val="nil"/>
              <w:right w:val="nil"/>
            </w:tcBorders>
            <w:shd w:val="clear" w:color="000000" w:fill="EEF3F8"/>
            <w:noWrap/>
            <w:vAlign w:val="center"/>
            <w:hideMark/>
          </w:tcPr>
          <w:p w14:paraId="0D2CB32F"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0</w:t>
            </w:r>
          </w:p>
        </w:tc>
        <w:tc>
          <w:tcPr>
            <w:tcW w:w="992" w:type="dxa"/>
            <w:tcBorders>
              <w:top w:val="nil"/>
              <w:left w:val="nil"/>
              <w:bottom w:val="nil"/>
              <w:right w:val="nil"/>
            </w:tcBorders>
            <w:shd w:val="clear" w:color="000000" w:fill="EEF3F8"/>
            <w:noWrap/>
            <w:vAlign w:val="center"/>
            <w:hideMark/>
          </w:tcPr>
          <w:p w14:paraId="06E2C973"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53</w:t>
            </w:r>
          </w:p>
        </w:tc>
        <w:tc>
          <w:tcPr>
            <w:tcW w:w="993" w:type="dxa"/>
            <w:tcBorders>
              <w:top w:val="nil"/>
              <w:left w:val="nil"/>
              <w:bottom w:val="nil"/>
              <w:right w:val="single" w:sz="12" w:space="0" w:color="4F81BD"/>
            </w:tcBorders>
            <w:shd w:val="clear" w:color="000000" w:fill="EEF3F8"/>
            <w:noWrap/>
            <w:vAlign w:val="center"/>
            <w:hideMark/>
          </w:tcPr>
          <w:p w14:paraId="4556FD2B" w14:textId="77777777" w:rsidR="00B444E9" w:rsidRPr="00B444E9" w:rsidRDefault="00B444E9" w:rsidP="00B444E9">
            <w:pPr>
              <w:spacing w:after="0" w:line="240" w:lineRule="auto"/>
              <w:jc w:val="right"/>
              <w:rPr>
                <w:rFonts w:ascii="Calibri" w:eastAsia="Times New Roman" w:hAnsi="Calibri" w:cs="Calibri"/>
                <w:szCs w:val="21"/>
                <w:lang w:eastAsia="cs-CZ"/>
              </w:rPr>
            </w:pPr>
            <w:r w:rsidRPr="00B444E9">
              <w:rPr>
                <w:rFonts w:ascii="Calibri" w:eastAsia="Times New Roman" w:hAnsi="Calibri" w:cs="Calibri"/>
                <w:szCs w:val="21"/>
                <w:lang w:eastAsia="cs-CZ"/>
              </w:rPr>
              <w:t>0</w:t>
            </w:r>
          </w:p>
        </w:tc>
      </w:tr>
      <w:tr w:rsidR="00B444E9" w:rsidRPr="00B444E9" w14:paraId="0FC57366" w14:textId="77777777" w:rsidTr="00EF7638">
        <w:trPr>
          <w:trHeight w:val="290"/>
        </w:trPr>
        <w:tc>
          <w:tcPr>
            <w:tcW w:w="2977" w:type="dxa"/>
            <w:tcBorders>
              <w:top w:val="nil"/>
              <w:left w:val="single" w:sz="12" w:space="0" w:color="4F81BD"/>
              <w:bottom w:val="single" w:sz="12" w:space="0" w:color="4F81BD"/>
              <w:right w:val="nil"/>
            </w:tcBorders>
            <w:shd w:val="clear" w:color="auto" w:fill="auto"/>
            <w:vAlign w:val="center"/>
            <w:hideMark/>
          </w:tcPr>
          <w:p w14:paraId="3DA889E6" w14:textId="77777777" w:rsidR="00B444E9" w:rsidRPr="00B444E9" w:rsidRDefault="00B444E9" w:rsidP="00B444E9">
            <w:pPr>
              <w:spacing w:after="0" w:line="240" w:lineRule="auto"/>
              <w:rPr>
                <w:rFonts w:ascii="Calibri" w:eastAsia="Times New Roman" w:hAnsi="Calibri" w:cs="Calibri"/>
                <w:b/>
                <w:bCs/>
                <w:color w:val="000000"/>
                <w:szCs w:val="21"/>
                <w:lang w:eastAsia="cs-CZ"/>
              </w:rPr>
            </w:pPr>
            <w:r w:rsidRPr="00B444E9">
              <w:rPr>
                <w:rFonts w:ascii="Calibri" w:eastAsia="Times New Roman" w:hAnsi="Calibri" w:cs="Calibri"/>
                <w:b/>
                <w:bCs/>
                <w:color w:val="000000"/>
                <w:szCs w:val="21"/>
                <w:lang w:eastAsia="cs-CZ"/>
              </w:rPr>
              <w:t>stav půjček a úvěrů</w:t>
            </w:r>
          </w:p>
        </w:tc>
        <w:tc>
          <w:tcPr>
            <w:tcW w:w="992" w:type="dxa"/>
            <w:tcBorders>
              <w:top w:val="nil"/>
              <w:left w:val="nil"/>
              <w:bottom w:val="single" w:sz="12" w:space="0" w:color="4F81BD"/>
              <w:right w:val="nil"/>
            </w:tcBorders>
            <w:shd w:val="clear" w:color="000000" w:fill="DCE6F1"/>
            <w:noWrap/>
            <w:vAlign w:val="center"/>
            <w:hideMark/>
          </w:tcPr>
          <w:p w14:paraId="05BF1101" w14:textId="77777777" w:rsidR="00B444E9" w:rsidRPr="00B444E9" w:rsidRDefault="00B444E9" w:rsidP="00B444E9">
            <w:pPr>
              <w:spacing w:after="0" w:line="240" w:lineRule="auto"/>
              <w:jc w:val="right"/>
              <w:rPr>
                <w:rFonts w:ascii="Calibri" w:eastAsia="Times New Roman" w:hAnsi="Calibri" w:cs="Calibri"/>
                <w:b/>
                <w:bCs/>
                <w:szCs w:val="21"/>
                <w:lang w:eastAsia="cs-CZ"/>
              </w:rPr>
            </w:pPr>
            <w:r w:rsidRPr="00B444E9">
              <w:rPr>
                <w:rFonts w:ascii="Calibri" w:eastAsia="Times New Roman" w:hAnsi="Calibri" w:cs="Calibri"/>
                <w:b/>
                <w:bCs/>
                <w:szCs w:val="21"/>
                <w:lang w:eastAsia="cs-CZ"/>
              </w:rPr>
              <w:t>0</w:t>
            </w:r>
          </w:p>
        </w:tc>
        <w:tc>
          <w:tcPr>
            <w:tcW w:w="992" w:type="dxa"/>
            <w:tcBorders>
              <w:top w:val="nil"/>
              <w:left w:val="nil"/>
              <w:bottom w:val="single" w:sz="12" w:space="0" w:color="4F81BD"/>
              <w:right w:val="nil"/>
            </w:tcBorders>
            <w:shd w:val="clear" w:color="auto" w:fill="auto"/>
            <w:noWrap/>
            <w:vAlign w:val="center"/>
            <w:hideMark/>
          </w:tcPr>
          <w:p w14:paraId="0DFBFBAE" w14:textId="77777777" w:rsidR="00B444E9" w:rsidRPr="00B444E9" w:rsidRDefault="00B444E9" w:rsidP="00B444E9">
            <w:pPr>
              <w:spacing w:after="0" w:line="240" w:lineRule="auto"/>
              <w:jc w:val="right"/>
              <w:rPr>
                <w:rFonts w:ascii="Calibri" w:eastAsia="Times New Roman" w:hAnsi="Calibri" w:cs="Calibri"/>
                <w:b/>
                <w:bCs/>
                <w:szCs w:val="21"/>
                <w:lang w:eastAsia="cs-CZ"/>
              </w:rPr>
            </w:pPr>
            <w:r w:rsidRPr="00B444E9">
              <w:rPr>
                <w:rFonts w:ascii="Calibri" w:eastAsia="Times New Roman" w:hAnsi="Calibri" w:cs="Calibri"/>
                <w:b/>
                <w:bCs/>
                <w:szCs w:val="21"/>
                <w:lang w:eastAsia="cs-CZ"/>
              </w:rPr>
              <w:t>0</w:t>
            </w:r>
          </w:p>
        </w:tc>
        <w:tc>
          <w:tcPr>
            <w:tcW w:w="993" w:type="dxa"/>
            <w:tcBorders>
              <w:top w:val="nil"/>
              <w:left w:val="nil"/>
              <w:bottom w:val="single" w:sz="12" w:space="0" w:color="4F81BD"/>
              <w:right w:val="nil"/>
            </w:tcBorders>
            <w:shd w:val="clear" w:color="000000" w:fill="DCE6F1"/>
            <w:noWrap/>
            <w:vAlign w:val="center"/>
            <w:hideMark/>
          </w:tcPr>
          <w:p w14:paraId="16F2EB0D" w14:textId="77777777" w:rsidR="00B444E9" w:rsidRPr="00B444E9" w:rsidRDefault="00B444E9" w:rsidP="00B444E9">
            <w:pPr>
              <w:spacing w:after="0" w:line="240" w:lineRule="auto"/>
              <w:jc w:val="right"/>
              <w:rPr>
                <w:rFonts w:ascii="Calibri" w:eastAsia="Times New Roman" w:hAnsi="Calibri" w:cs="Calibri"/>
                <w:b/>
                <w:bCs/>
                <w:szCs w:val="21"/>
                <w:lang w:eastAsia="cs-CZ"/>
              </w:rPr>
            </w:pPr>
            <w:r w:rsidRPr="00B444E9">
              <w:rPr>
                <w:rFonts w:ascii="Calibri" w:eastAsia="Times New Roman" w:hAnsi="Calibri" w:cs="Calibri"/>
                <w:b/>
                <w:bCs/>
                <w:szCs w:val="21"/>
                <w:lang w:eastAsia="cs-CZ"/>
              </w:rPr>
              <w:t>0</w:t>
            </w:r>
          </w:p>
        </w:tc>
        <w:tc>
          <w:tcPr>
            <w:tcW w:w="992" w:type="dxa"/>
            <w:tcBorders>
              <w:top w:val="nil"/>
              <w:left w:val="nil"/>
              <w:bottom w:val="single" w:sz="12" w:space="0" w:color="4F81BD"/>
              <w:right w:val="nil"/>
            </w:tcBorders>
            <w:shd w:val="clear" w:color="auto" w:fill="auto"/>
            <w:noWrap/>
            <w:vAlign w:val="center"/>
            <w:hideMark/>
          </w:tcPr>
          <w:p w14:paraId="003004FA" w14:textId="77777777" w:rsidR="00B444E9" w:rsidRPr="00B444E9" w:rsidRDefault="00B444E9" w:rsidP="00B444E9">
            <w:pPr>
              <w:spacing w:after="0" w:line="240" w:lineRule="auto"/>
              <w:jc w:val="right"/>
              <w:rPr>
                <w:rFonts w:ascii="Calibri" w:eastAsia="Times New Roman" w:hAnsi="Calibri" w:cs="Calibri"/>
                <w:b/>
                <w:bCs/>
                <w:szCs w:val="21"/>
                <w:lang w:eastAsia="cs-CZ"/>
              </w:rPr>
            </w:pPr>
            <w:r w:rsidRPr="00B444E9">
              <w:rPr>
                <w:rFonts w:ascii="Calibri" w:eastAsia="Times New Roman" w:hAnsi="Calibri" w:cs="Calibri"/>
                <w:b/>
                <w:bCs/>
                <w:szCs w:val="21"/>
                <w:lang w:eastAsia="cs-CZ"/>
              </w:rPr>
              <w:t>0</w:t>
            </w:r>
          </w:p>
        </w:tc>
        <w:tc>
          <w:tcPr>
            <w:tcW w:w="992" w:type="dxa"/>
            <w:tcBorders>
              <w:top w:val="nil"/>
              <w:left w:val="nil"/>
              <w:bottom w:val="single" w:sz="12" w:space="0" w:color="4F81BD"/>
              <w:right w:val="nil"/>
            </w:tcBorders>
            <w:shd w:val="clear" w:color="000000" w:fill="DCE6F1"/>
            <w:noWrap/>
            <w:vAlign w:val="center"/>
            <w:hideMark/>
          </w:tcPr>
          <w:p w14:paraId="4D3BA796" w14:textId="77777777" w:rsidR="00B444E9" w:rsidRPr="00B444E9" w:rsidRDefault="00B444E9" w:rsidP="00B444E9">
            <w:pPr>
              <w:spacing w:after="0" w:line="240" w:lineRule="auto"/>
              <w:jc w:val="right"/>
              <w:rPr>
                <w:rFonts w:ascii="Calibri" w:eastAsia="Times New Roman" w:hAnsi="Calibri" w:cs="Calibri"/>
                <w:b/>
                <w:bCs/>
                <w:szCs w:val="21"/>
                <w:lang w:eastAsia="cs-CZ"/>
              </w:rPr>
            </w:pPr>
            <w:r w:rsidRPr="00B444E9">
              <w:rPr>
                <w:rFonts w:ascii="Calibri" w:eastAsia="Times New Roman" w:hAnsi="Calibri" w:cs="Calibri"/>
                <w:b/>
                <w:bCs/>
                <w:szCs w:val="21"/>
                <w:lang w:eastAsia="cs-CZ"/>
              </w:rPr>
              <w:t>0</w:t>
            </w:r>
          </w:p>
        </w:tc>
        <w:tc>
          <w:tcPr>
            <w:tcW w:w="992" w:type="dxa"/>
            <w:tcBorders>
              <w:top w:val="nil"/>
              <w:left w:val="nil"/>
              <w:bottom w:val="single" w:sz="12" w:space="0" w:color="4F81BD"/>
              <w:right w:val="nil"/>
            </w:tcBorders>
            <w:shd w:val="clear" w:color="auto" w:fill="auto"/>
            <w:noWrap/>
            <w:vAlign w:val="center"/>
            <w:hideMark/>
          </w:tcPr>
          <w:p w14:paraId="04990B40" w14:textId="77777777" w:rsidR="00B444E9" w:rsidRPr="00B444E9" w:rsidRDefault="00B444E9" w:rsidP="00B444E9">
            <w:pPr>
              <w:spacing w:after="0" w:line="240" w:lineRule="auto"/>
              <w:jc w:val="right"/>
              <w:rPr>
                <w:rFonts w:ascii="Calibri" w:eastAsia="Times New Roman" w:hAnsi="Calibri" w:cs="Calibri"/>
                <w:b/>
                <w:bCs/>
                <w:szCs w:val="21"/>
                <w:lang w:eastAsia="cs-CZ"/>
              </w:rPr>
            </w:pPr>
            <w:r w:rsidRPr="00B444E9">
              <w:rPr>
                <w:rFonts w:ascii="Calibri" w:eastAsia="Times New Roman" w:hAnsi="Calibri" w:cs="Calibri"/>
                <w:b/>
                <w:bCs/>
                <w:szCs w:val="21"/>
                <w:lang w:eastAsia="cs-CZ"/>
              </w:rPr>
              <w:t>0</w:t>
            </w:r>
          </w:p>
        </w:tc>
        <w:tc>
          <w:tcPr>
            <w:tcW w:w="993" w:type="dxa"/>
            <w:tcBorders>
              <w:top w:val="nil"/>
              <w:left w:val="nil"/>
              <w:bottom w:val="single" w:sz="12" w:space="0" w:color="4F81BD"/>
              <w:right w:val="single" w:sz="12" w:space="0" w:color="4F81BD"/>
            </w:tcBorders>
            <w:shd w:val="clear" w:color="000000" w:fill="DCE6F1"/>
            <w:noWrap/>
            <w:vAlign w:val="center"/>
            <w:hideMark/>
          </w:tcPr>
          <w:p w14:paraId="7E514B5F" w14:textId="77777777" w:rsidR="00B444E9" w:rsidRPr="00B444E9" w:rsidRDefault="00B444E9" w:rsidP="00B444E9">
            <w:pPr>
              <w:spacing w:after="0" w:line="240" w:lineRule="auto"/>
              <w:jc w:val="right"/>
              <w:rPr>
                <w:rFonts w:ascii="Calibri" w:eastAsia="Times New Roman" w:hAnsi="Calibri" w:cs="Calibri"/>
                <w:b/>
                <w:bCs/>
                <w:szCs w:val="21"/>
                <w:lang w:eastAsia="cs-CZ"/>
              </w:rPr>
            </w:pPr>
            <w:r w:rsidRPr="00B444E9">
              <w:rPr>
                <w:rFonts w:ascii="Calibri" w:eastAsia="Times New Roman" w:hAnsi="Calibri" w:cs="Calibri"/>
                <w:b/>
                <w:bCs/>
                <w:szCs w:val="21"/>
                <w:lang w:eastAsia="cs-CZ"/>
              </w:rPr>
              <w:t>0</w:t>
            </w:r>
          </w:p>
        </w:tc>
      </w:tr>
    </w:tbl>
    <w:p w14:paraId="1B97E4C1" w14:textId="77777777" w:rsidR="00B444E9" w:rsidRPr="00B444E9" w:rsidRDefault="00B444E9" w:rsidP="00B444E9">
      <w:pPr>
        <w:rPr>
          <w:lang w:bidi="hi-IN"/>
        </w:rPr>
      </w:pPr>
    </w:p>
    <w:p w14:paraId="11206C53" w14:textId="10B15041" w:rsidR="00A91064" w:rsidRPr="00A36740" w:rsidRDefault="00A91064" w:rsidP="00A91064">
      <w:pPr>
        <w:spacing w:before="180" w:line="276" w:lineRule="auto"/>
        <w:jc w:val="both"/>
        <w:rPr>
          <w:highlight w:val="yellow"/>
        </w:rPr>
      </w:pPr>
      <w:r w:rsidRPr="00A125B9">
        <w:rPr>
          <w:b/>
          <w:bCs/>
        </w:rPr>
        <w:t xml:space="preserve">Stav závazků v. z. p. celkem </w:t>
      </w:r>
      <w:r w:rsidRPr="00A125B9">
        <w:rPr>
          <w:bCs/>
        </w:rPr>
        <w:t>k 31. 12. </w:t>
      </w:r>
      <w:r w:rsidR="009A0C92" w:rsidRPr="00A125B9">
        <w:rPr>
          <w:bCs/>
        </w:rPr>
        <w:t>202</w:t>
      </w:r>
      <w:r w:rsidR="00A125B9" w:rsidRPr="00A125B9">
        <w:rPr>
          <w:bCs/>
        </w:rPr>
        <w:t>3</w:t>
      </w:r>
      <w:r w:rsidR="009A0C92" w:rsidRPr="00A125B9">
        <w:rPr>
          <w:bCs/>
        </w:rPr>
        <w:t xml:space="preserve"> </w:t>
      </w:r>
      <w:r w:rsidRPr="00A125B9">
        <w:rPr>
          <w:bCs/>
        </w:rPr>
        <w:t>byl</w:t>
      </w:r>
      <w:r w:rsidRPr="00A125B9">
        <w:rPr>
          <w:b/>
          <w:bCs/>
        </w:rPr>
        <w:t xml:space="preserve"> </w:t>
      </w:r>
      <w:r w:rsidR="00A125B9" w:rsidRPr="00A125B9">
        <w:rPr>
          <w:b/>
          <w:bCs/>
        </w:rPr>
        <w:t>64,5</w:t>
      </w:r>
      <w:r w:rsidR="007E26E3" w:rsidRPr="00A125B9">
        <w:rPr>
          <w:b/>
          <w:bCs/>
        </w:rPr>
        <w:t xml:space="preserve"> </w:t>
      </w:r>
      <w:r w:rsidRPr="00A125B9">
        <w:rPr>
          <w:b/>
          <w:bCs/>
        </w:rPr>
        <w:t>mld. Kč</w:t>
      </w:r>
      <w:r w:rsidRPr="00A125B9">
        <w:t xml:space="preserve">, což představuje meziroční </w:t>
      </w:r>
      <w:r w:rsidR="007E26E3" w:rsidRPr="00A125B9">
        <w:t xml:space="preserve">růst </w:t>
      </w:r>
      <w:r w:rsidRPr="00A125B9">
        <w:t>o </w:t>
      </w:r>
      <w:r w:rsidR="00A125B9" w:rsidRPr="00A125B9">
        <w:t>3</w:t>
      </w:r>
      <w:r w:rsidR="009A0C92" w:rsidRPr="00A125B9">
        <w:t>,</w:t>
      </w:r>
      <w:r w:rsidR="00A125B9" w:rsidRPr="00A125B9">
        <w:t>3</w:t>
      </w:r>
      <w:r w:rsidR="009A0C92" w:rsidRPr="00A125B9">
        <w:t xml:space="preserve"> </w:t>
      </w:r>
      <w:r w:rsidRPr="00A125B9">
        <w:t>mld. Kč (</w:t>
      </w:r>
      <w:r w:rsidR="007E26E3" w:rsidRPr="00A125B9">
        <w:t xml:space="preserve">růst </w:t>
      </w:r>
      <w:r w:rsidR="009A0C92" w:rsidRPr="00A125B9">
        <w:t>o</w:t>
      </w:r>
      <w:r w:rsidR="00CC1241" w:rsidRPr="00A125B9">
        <w:t> </w:t>
      </w:r>
      <w:r w:rsidR="00A125B9" w:rsidRPr="00A125B9">
        <w:t>5,4</w:t>
      </w:r>
      <w:r w:rsidR="009A0C92" w:rsidRPr="00A125B9">
        <w:t xml:space="preserve"> </w:t>
      </w:r>
      <w:r w:rsidRPr="00A125B9">
        <w:t xml:space="preserve">%). </w:t>
      </w:r>
      <w:r w:rsidR="009138D4" w:rsidRPr="00AA5092">
        <w:rPr>
          <w:b/>
          <w:bCs/>
        </w:rPr>
        <w:t>Z</w:t>
      </w:r>
      <w:r w:rsidRPr="00AA5092">
        <w:rPr>
          <w:b/>
          <w:bCs/>
        </w:rPr>
        <w:t xml:space="preserve">ávazky po lhůtě splatnosti </w:t>
      </w:r>
      <w:r w:rsidR="00A125B9" w:rsidRPr="00AA5092">
        <w:rPr>
          <w:b/>
          <w:bCs/>
        </w:rPr>
        <w:t>vykázány nebyly.</w:t>
      </w:r>
    </w:p>
    <w:p w14:paraId="7CA2DA1D" w14:textId="6283D1E8" w:rsidR="006D3803" w:rsidRPr="00227A95" w:rsidRDefault="00A91064" w:rsidP="00A91064">
      <w:pPr>
        <w:spacing w:before="180" w:line="276" w:lineRule="auto"/>
        <w:jc w:val="both"/>
      </w:pPr>
      <w:r w:rsidRPr="00227A95">
        <w:t xml:space="preserve">Ve výši </w:t>
      </w:r>
      <w:r w:rsidR="00AA5092" w:rsidRPr="00227A95">
        <w:rPr>
          <w:b/>
          <w:bCs/>
        </w:rPr>
        <w:t>21</w:t>
      </w:r>
      <w:r w:rsidR="00B6780D" w:rsidRPr="00227A95">
        <w:rPr>
          <w:b/>
          <w:bCs/>
        </w:rPr>
        <w:t xml:space="preserve"> </w:t>
      </w:r>
      <w:r w:rsidRPr="00227A95">
        <w:rPr>
          <w:b/>
          <w:bCs/>
        </w:rPr>
        <w:t>mld. Kč</w:t>
      </w:r>
      <w:r w:rsidRPr="00227A95">
        <w:t xml:space="preserve"> byly evidovány </w:t>
      </w:r>
      <w:r w:rsidRPr="00227A95">
        <w:rPr>
          <w:b/>
          <w:bCs/>
        </w:rPr>
        <w:t>dohadné položky pasivní</w:t>
      </w:r>
      <w:r w:rsidRPr="00227A95">
        <w:t xml:space="preserve"> (meziroční </w:t>
      </w:r>
      <w:r w:rsidR="00AA5092" w:rsidRPr="00227A95">
        <w:t>pokles</w:t>
      </w:r>
      <w:r w:rsidR="00175CE4" w:rsidRPr="00227A95">
        <w:t xml:space="preserve"> </w:t>
      </w:r>
      <w:r w:rsidRPr="00227A95">
        <w:t xml:space="preserve">o </w:t>
      </w:r>
      <w:r w:rsidR="00AA5092" w:rsidRPr="00227A95">
        <w:t>7,6</w:t>
      </w:r>
      <w:r w:rsidRPr="00227A95">
        <w:t xml:space="preserve"> %) a </w:t>
      </w:r>
      <w:r w:rsidRPr="00227A95">
        <w:rPr>
          <w:b/>
          <w:bCs/>
        </w:rPr>
        <w:t>dohadné položky aktivní</w:t>
      </w:r>
      <w:r w:rsidRPr="00227A95">
        <w:t xml:space="preserve"> v celkové výši </w:t>
      </w:r>
      <w:r w:rsidR="00227A95" w:rsidRPr="00227A95">
        <w:rPr>
          <w:b/>
          <w:bCs/>
        </w:rPr>
        <w:t>7</w:t>
      </w:r>
      <w:r w:rsidR="004B524E" w:rsidRPr="00227A95">
        <w:rPr>
          <w:b/>
          <w:bCs/>
        </w:rPr>
        <w:t>,</w:t>
      </w:r>
      <w:r w:rsidR="00227A95" w:rsidRPr="00227A95">
        <w:rPr>
          <w:b/>
          <w:bCs/>
        </w:rPr>
        <w:t>5</w:t>
      </w:r>
      <w:r w:rsidR="004B524E" w:rsidRPr="00227A95">
        <w:rPr>
          <w:b/>
          <w:bCs/>
        </w:rPr>
        <w:t xml:space="preserve"> </w:t>
      </w:r>
      <w:r w:rsidRPr="00227A95">
        <w:rPr>
          <w:b/>
          <w:bCs/>
        </w:rPr>
        <w:t>mld. Kč</w:t>
      </w:r>
      <w:r w:rsidRPr="00227A95">
        <w:rPr>
          <w:bCs/>
        </w:rPr>
        <w:t xml:space="preserve"> (meziroční </w:t>
      </w:r>
      <w:r w:rsidR="00227A95" w:rsidRPr="00227A95">
        <w:rPr>
          <w:bCs/>
        </w:rPr>
        <w:t>růst</w:t>
      </w:r>
      <w:r w:rsidR="004B524E" w:rsidRPr="00227A95">
        <w:rPr>
          <w:bCs/>
        </w:rPr>
        <w:t xml:space="preserve"> </w:t>
      </w:r>
      <w:r w:rsidRPr="00227A95">
        <w:rPr>
          <w:bCs/>
        </w:rPr>
        <w:t xml:space="preserve">o </w:t>
      </w:r>
      <w:r w:rsidR="00227A95" w:rsidRPr="00227A95">
        <w:rPr>
          <w:bCs/>
        </w:rPr>
        <w:t>41</w:t>
      </w:r>
      <w:r w:rsidRPr="00227A95">
        <w:rPr>
          <w:bCs/>
        </w:rPr>
        <w:t xml:space="preserve"> %)</w:t>
      </w:r>
      <w:r w:rsidRPr="00227A95">
        <w:t>.</w:t>
      </w:r>
    </w:p>
    <w:p w14:paraId="6BB29FED" w14:textId="332DDC9E" w:rsidR="006D3803" w:rsidRPr="009F2BBD" w:rsidRDefault="00A91064" w:rsidP="006D3803">
      <w:pPr>
        <w:spacing w:before="180" w:line="276" w:lineRule="auto"/>
        <w:jc w:val="both"/>
      </w:pPr>
      <w:r w:rsidRPr="009F2BBD">
        <w:rPr>
          <w:b/>
          <w:bCs/>
        </w:rPr>
        <w:t>Stav opravných položek</w:t>
      </w:r>
      <w:r w:rsidRPr="009F2BBD">
        <w:rPr>
          <w:rStyle w:val="Znakapoznpodarou"/>
          <w:b/>
          <w:bCs/>
        </w:rPr>
        <w:footnoteReference w:id="5"/>
      </w:r>
      <w:r w:rsidRPr="009F2BBD">
        <w:t xml:space="preserve"> dosáhl k 31. 12. </w:t>
      </w:r>
      <w:r w:rsidR="001D251B" w:rsidRPr="009F2BBD">
        <w:t>202</w:t>
      </w:r>
      <w:r w:rsidR="00227A95" w:rsidRPr="009F2BBD">
        <w:t>3</w:t>
      </w:r>
      <w:r w:rsidR="001D251B" w:rsidRPr="009F2BBD">
        <w:t xml:space="preserve"> </w:t>
      </w:r>
      <w:r w:rsidRPr="009F2BBD">
        <w:t xml:space="preserve">celkem hodnoty </w:t>
      </w:r>
      <w:r w:rsidR="009F2BBD" w:rsidRPr="009F2BBD">
        <w:rPr>
          <w:b/>
          <w:bCs/>
        </w:rPr>
        <w:t>47,9</w:t>
      </w:r>
      <w:r w:rsidR="00175CE4" w:rsidRPr="009F2BBD">
        <w:rPr>
          <w:b/>
          <w:bCs/>
        </w:rPr>
        <w:t xml:space="preserve"> </w:t>
      </w:r>
      <w:r w:rsidRPr="009F2BBD">
        <w:rPr>
          <w:b/>
          <w:bCs/>
        </w:rPr>
        <w:t>mld. Kč</w:t>
      </w:r>
      <w:r w:rsidRPr="009F2BBD">
        <w:t xml:space="preserve"> (meziroční růst o </w:t>
      </w:r>
      <w:r w:rsidR="009F2BBD" w:rsidRPr="009F2BBD">
        <w:t>2,6</w:t>
      </w:r>
      <w:r w:rsidRPr="009F2BBD">
        <w:t xml:space="preserve"> mld. Kč, tj. </w:t>
      </w:r>
      <w:r w:rsidR="009F2BBD" w:rsidRPr="009F2BBD">
        <w:t>5,7</w:t>
      </w:r>
      <w:r w:rsidRPr="009F2BBD">
        <w:t xml:space="preserve"> %). Část této kategorie pohledávek (součást tzv. „hrubé“ výše pohledávek) je nadále vymáhána na plátcích </w:t>
      </w:r>
      <w:r w:rsidR="006D3803" w:rsidRPr="009F2BBD">
        <w:t>pojistného. Pouze z hlediska účetního jsou tyto položky vyjmuty z „čistých“ pohledávek a čtvrtletně přehodnocovány v souladu s účetními standardy.</w:t>
      </w:r>
      <w:r w:rsidR="006D3803" w:rsidRPr="009F2BBD">
        <w:rPr>
          <w:vertAlign w:val="superscript"/>
        </w:rPr>
        <w:footnoteReference w:id="6"/>
      </w:r>
      <w:r w:rsidR="006D3803" w:rsidRPr="009F2BBD">
        <w:rPr>
          <w:vertAlign w:val="superscript"/>
        </w:rPr>
        <w:t xml:space="preserve"> </w:t>
      </w:r>
    </w:p>
    <w:p w14:paraId="3EAE4A26" w14:textId="77777777" w:rsidR="006D3803" w:rsidRPr="009F2BBD" w:rsidRDefault="006D3803" w:rsidP="006D3803">
      <w:pPr>
        <w:spacing w:before="180" w:line="276" w:lineRule="auto"/>
        <w:jc w:val="both"/>
      </w:pPr>
      <w:r w:rsidRPr="009F2BBD">
        <w:t xml:space="preserve">Informace o stavu závazků a pohledávek jednotlivých ZP viz tabulková příloha </w:t>
      </w:r>
      <w:r w:rsidRPr="009F2BBD">
        <w:rPr>
          <w:i/>
          <w:iCs/>
        </w:rPr>
        <w:t>Tabulka č. 1, str. 7–8</w:t>
      </w:r>
      <w:r w:rsidRPr="009F2BBD">
        <w:t xml:space="preserve">. </w:t>
      </w:r>
    </w:p>
    <w:p w14:paraId="3F5F61CE" w14:textId="620DDF17" w:rsidR="006D3803" w:rsidRPr="00A36740" w:rsidRDefault="006D3803" w:rsidP="006D3803">
      <w:pPr>
        <w:spacing w:before="180" w:line="276" w:lineRule="auto"/>
        <w:jc w:val="both"/>
        <w:rPr>
          <w:highlight w:val="yellow"/>
        </w:rPr>
      </w:pPr>
      <w:r w:rsidRPr="009F2BBD">
        <w:rPr>
          <w:i/>
          <w:iCs/>
        </w:rPr>
        <w:t>Tabulka č. 1, str. 7</w:t>
      </w:r>
      <w:r w:rsidRPr="009F2BBD">
        <w:t xml:space="preserve"> v tabulkové příloze, zpracovaná na základě podkladů jednotlivých ZP, dokládá absolutní stav závazků vůči PZS k 31. 12. </w:t>
      </w:r>
      <w:r w:rsidR="001D251B" w:rsidRPr="009F2BBD">
        <w:t>202</w:t>
      </w:r>
      <w:r w:rsidR="009F2BBD" w:rsidRPr="009F2BBD">
        <w:t>3</w:t>
      </w:r>
      <w:r w:rsidRPr="009F2BBD">
        <w:t>. Tento stav závazků je rovněž z důvodu srovnatelnosti vyjádřen i </w:t>
      </w:r>
      <w:r w:rsidRPr="009F2BBD">
        <w:rPr>
          <w:b/>
          <w:bCs/>
        </w:rPr>
        <w:t>v přepočtu na denní spotřebu výdajů na zdravotní služby</w:t>
      </w:r>
      <w:r w:rsidRPr="009F2BBD">
        <w:t xml:space="preserve"> (tabulková příloha </w:t>
      </w:r>
      <w:r w:rsidRPr="009F2BBD">
        <w:rPr>
          <w:i/>
          <w:iCs/>
        </w:rPr>
        <w:t>Tabulka č. 1</w:t>
      </w:r>
      <w:r w:rsidRPr="00EA579A">
        <w:rPr>
          <w:i/>
          <w:iCs/>
        </w:rPr>
        <w:t>b</w:t>
      </w:r>
      <w:r w:rsidRPr="00EA579A">
        <w:t xml:space="preserve">). Závazky ve lhůtě splatnosti vůči PZS se pohybovaly v rozmezí </w:t>
      </w:r>
      <w:r w:rsidR="009F2BBD" w:rsidRPr="00EA579A">
        <w:t>41</w:t>
      </w:r>
      <w:r w:rsidR="006405D6" w:rsidRPr="00EA579A">
        <w:t>−</w:t>
      </w:r>
      <w:r w:rsidR="00EA579A" w:rsidRPr="00EA579A">
        <w:t>86</w:t>
      </w:r>
      <w:r w:rsidR="00894606" w:rsidRPr="00EA579A">
        <w:t xml:space="preserve"> </w:t>
      </w:r>
      <w:r w:rsidRPr="00EA579A">
        <w:t>dnů</w:t>
      </w:r>
      <w:r w:rsidR="00EA579A">
        <w:t xml:space="preserve"> (nejvyšší hodnotu vykázala VoZP ČR)</w:t>
      </w:r>
      <w:r w:rsidRPr="00EA579A">
        <w:t xml:space="preserve">. </w:t>
      </w:r>
    </w:p>
    <w:p w14:paraId="4937F90C" w14:textId="67A0A75E" w:rsidR="006D3803" w:rsidRPr="00EA579A" w:rsidRDefault="006D3803" w:rsidP="006D3803">
      <w:pPr>
        <w:spacing w:before="180" w:line="276" w:lineRule="auto"/>
        <w:jc w:val="both"/>
      </w:pPr>
      <w:r w:rsidRPr="00EA579A">
        <w:t>Zásoby na bankovních účtech (BÚ) základního fondu zdravotního pojištění (ZFZP) jednotlivých ZP vyjádřené v denních ekvivalentech plateb za zdravotní služby k 31. 12. </w:t>
      </w:r>
      <w:r w:rsidR="00894606" w:rsidRPr="00EA579A">
        <w:t>202</w:t>
      </w:r>
      <w:r w:rsidR="00EA579A">
        <w:t>3</w:t>
      </w:r>
      <w:r w:rsidR="00894606" w:rsidRPr="00EA579A">
        <w:t xml:space="preserve"> </w:t>
      </w:r>
      <w:r w:rsidRPr="00EA579A">
        <w:t xml:space="preserve">jsou nerovnoměrné a dosahovaly </w:t>
      </w:r>
      <w:r w:rsidR="00EA579A" w:rsidRPr="00EA579A">
        <w:t>2</w:t>
      </w:r>
      <w:r w:rsidRPr="00EA579A">
        <w:t>–</w:t>
      </w:r>
      <w:r w:rsidR="00EA579A" w:rsidRPr="00EA579A">
        <w:t>2</w:t>
      </w:r>
      <w:r w:rsidR="00CB7A13" w:rsidRPr="00EA579A">
        <w:t xml:space="preserve">1 </w:t>
      </w:r>
      <w:r w:rsidRPr="00EA579A">
        <w:t>dnů</w:t>
      </w:r>
      <w:r w:rsidR="00EA579A" w:rsidRPr="00EA579A">
        <w:t xml:space="preserve"> (nejnižší hodnotu vykázala VoZP ČR)</w:t>
      </w:r>
      <w:r w:rsidRPr="00EA579A">
        <w:t xml:space="preserve">. </w:t>
      </w:r>
      <w:r w:rsidR="000903E9">
        <w:t>U všech ZP tento ukazatel meziročně klesl.</w:t>
      </w:r>
    </w:p>
    <w:p w14:paraId="035A19B4" w14:textId="1234701F" w:rsidR="006D3803" w:rsidRDefault="006D3803" w:rsidP="006D3803">
      <w:pPr>
        <w:pStyle w:val="Titulek"/>
      </w:pPr>
      <w:bookmarkStart w:id="25" w:name="_Toc106884101"/>
      <w:r w:rsidRPr="000903E9">
        <w:t xml:space="preserve">Graf č. </w:t>
      </w:r>
      <w:r w:rsidR="00F83E46">
        <w:rPr>
          <w:noProof/>
        </w:rPr>
        <w:t>6</w:t>
      </w:r>
      <w:r w:rsidRPr="000903E9">
        <w:t xml:space="preserve">: Finanční zásoba na BÚ ZFZP v roce </w:t>
      </w:r>
      <w:r w:rsidR="00894606" w:rsidRPr="000903E9">
        <w:t>202</w:t>
      </w:r>
      <w:r w:rsidR="000903E9" w:rsidRPr="000903E9">
        <w:t>3</w:t>
      </w:r>
      <w:r w:rsidR="00894606" w:rsidRPr="000903E9">
        <w:t xml:space="preserve"> </w:t>
      </w:r>
      <w:r w:rsidRPr="000903E9">
        <w:t>v denním ekvivalentu plateb</w:t>
      </w:r>
      <w:bookmarkEnd w:id="25"/>
    </w:p>
    <w:p w14:paraId="3CBEA2E7" w14:textId="1FD76F5D" w:rsidR="000903E9" w:rsidRPr="000903E9" w:rsidRDefault="000903E9" w:rsidP="000903E9">
      <w:pPr>
        <w:jc w:val="center"/>
        <w:rPr>
          <w:lang w:bidi="hi-IN"/>
        </w:rPr>
      </w:pPr>
      <w:r>
        <w:rPr>
          <w:noProof/>
          <w:lang w:eastAsia="cs-CZ"/>
        </w:rPr>
        <w:drawing>
          <wp:inline distT="0" distB="0" distL="0" distR="0" wp14:anchorId="7EE7337B" wp14:editId="1F0BB97B">
            <wp:extent cx="4859020" cy="273113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59020" cy="2731135"/>
                    </a:xfrm>
                    <a:prstGeom prst="rect">
                      <a:avLst/>
                    </a:prstGeom>
                    <a:noFill/>
                  </pic:spPr>
                </pic:pic>
              </a:graphicData>
            </a:graphic>
          </wp:inline>
        </w:drawing>
      </w:r>
    </w:p>
    <w:p w14:paraId="50A7ECFF" w14:textId="4792199A" w:rsidR="00CB7A13" w:rsidRPr="00A36740" w:rsidRDefault="00CB7A13" w:rsidP="006D3803">
      <w:pPr>
        <w:jc w:val="center"/>
        <w:rPr>
          <w:highlight w:val="yellow"/>
          <w:lang w:bidi="hi-IN"/>
        </w:rPr>
      </w:pPr>
    </w:p>
    <w:p w14:paraId="33672CF3" w14:textId="77777777" w:rsidR="006D3803" w:rsidRPr="00A51F0F" w:rsidRDefault="006D3803" w:rsidP="007327D1">
      <w:pPr>
        <w:pStyle w:val="Nadpis2"/>
      </w:pPr>
      <w:r w:rsidRPr="00A36740">
        <w:rPr>
          <w:szCs w:val="28"/>
          <w:highlight w:val="yellow"/>
        </w:rPr>
        <w:br w:type="page"/>
      </w:r>
      <w:bookmarkStart w:id="26" w:name="_Toc72151510"/>
      <w:bookmarkStart w:id="27" w:name="_Toc169176576"/>
      <w:bookmarkStart w:id="28" w:name="_Toc41837526"/>
      <w:r w:rsidRPr="00A51F0F">
        <w:t>Stavy peněžních prostředků zdravotních pojišťoven na BÚ</w:t>
      </w:r>
      <w:bookmarkEnd w:id="26"/>
      <w:bookmarkEnd w:id="27"/>
    </w:p>
    <w:p w14:paraId="18343FF8" w14:textId="4F30F80A" w:rsidR="006D3803" w:rsidRPr="00A51F0F" w:rsidRDefault="006D3803" w:rsidP="006D3803">
      <w:pPr>
        <w:spacing w:before="180" w:line="276" w:lineRule="auto"/>
        <w:jc w:val="both"/>
      </w:pPr>
      <w:r w:rsidRPr="00691C22">
        <w:rPr>
          <w:b/>
          <w:bCs/>
        </w:rPr>
        <w:t>Stav peněžních zůstatků na BÚ ZP</w:t>
      </w:r>
      <w:r w:rsidRPr="00691C22">
        <w:t xml:space="preserve"> činil k 31. 12. </w:t>
      </w:r>
      <w:r w:rsidR="00E41C10" w:rsidRPr="00691C22">
        <w:t>202</w:t>
      </w:r>
      <w:r w:rsidR="00A51F0F" w:rsidRPr="00691C22">
        <w:t>3</w:t>
      </w:r>
      <w:r w:rsidR="00E41C10" w:rsidRPr="00691C22">
        <w:t xml:space="preserve"> </w:t>
      </w:r>
      <w:bookmarkStart w:id="29" w:name="_Hlk105756173"/>
      <w:r w:rsidRPr="00691C22">
        <w:t xml:space="preserve">za celý systém v. z. p. </w:t>
      </w:r>
      <w:bookmarkEnd w:id="29"/>
      <w:r w:rsidR="00A51F0F" w:rsidRPr="00691C22">
        <w:rPr>
          <w:b/>
          <w:bCs/>
        </w:rPr>
        <w:t>55,2</w:t>
      </w:r>
      <w:r w:rsidR="00B23F03" w:rsidRPr="00691C22">
        <w:rPr>
          <w:b/>
          <w:bCs/>
        </w:rPr>
        <w:t xml:space="preserve"> </w:t>
      </w:r>
      <w:r w:rsidRPr="00691C22">
        <w:rPr>
          <w:b/>
          <w:bCs/>
        </w:rPr>
        <w:t xml:space="preserve">mld. Kč </w:t>
      </w:r>
      <w:r w:rsidRPr="00691C22">
        <w:t>(</w:t>
      </w:r>
      <w:r w:rsidR="00F83E46">
        <w:rPr>
          <w:i/>
          <w:iCs/>
        </w:rPr>
        <w:t>Graf č. 7</w:t>
      </w:r>
      <w:r w:rsidRPr="00691C22">
        <w:t xml:space="preserve">). Meziročně se tak z hodnoty </w:t>
      </w:r>
      <w:r w:rsidR="00691C22" w:rsidRPr="00691C22">
        <w:t>56</w:t>
      </w:r>
      <w:r w:rsidR="00E472A2" w:rsidRPr="00691C22">
        <w:t xml:space="preserve">,8 </w:t>
      </w:r>
      <w:r w:rsidRPr="00691C22">
        <w:t xml:space="preserve">mld. Kč </w:t>
      </w:r>
      <w:r w:rsidR="00691C22" w:rsidRPr="00691C22">
        <w:t>snížil</w:t>
      </w:r>
      <w:r w:rsidR="00E472A2" w:rsidRPr="00691C22">
        <w:t xml:space="preserve"> </w:t>
      </w:r>
      <w:r w:rsidRPr="00691C22">
        <w:t xml:space="preserve">o </w:t>
      </w:r>
      <w:r w:rsidR="00691C22" w:rsidRPr="00691C22">
        <w:t>2,9</w:t>
      </w:r>
      <w:r w:rsidR="00E472A2" w:rsidRPr="00691C22">
        <w:t xml:space="preserve"> </w:t>
      </w:r>
      <w:r w:rsidRPr="00691C22">
        <w:t xml:space="preserve">%. </w:t>
      </w:r>
      <w:r w:rsidR="00691C22">
        <w:t>Všechny ZZP zaznamenaly meziroční pokles celkových zůstatků, pouze VZP ČR zůstatky vzrostly adekvátně k dosaženému kladnému saldu.</w:t>
      </w:r>
      <w:r w:rsidR="003645E8">
        <w:t xml:space="preserve"> Dle ZPP 2023 se však očekával pokles zůstatků až na 41,9 mld. Kč.</w:t>
      </w:r>
    </w:p>
    <w:p w14:paraId="2786D0D5" w14:textId="6447140D" w:rsidR="006D3803" w:rsidRDefault="006D3803" w:rsidP="00D9104F">
      <w:pPr>
        <w:pStyle w:val="Titulek"/>
      </w:pPr>
      <w:bookmarkStart w:id="30" w:name="_Toc106884102"/>
      <w:r w:rsidRPr="00A51F0F">
        <w:t xml:space="preserve">Graf č. </w:t>
      </w:r>
      <w:r w:rsidR="00F83E46">
        <w:t>7</w:t>
      </w:r>
      <w:r w:rsidRPr="00A51F0F">
        <w:t xml:space="preserve">: Stav peněžních prostředků na BÚ jednotlivých ZP k 31. 12. </w:t>
      </w:r>
      <w:r w:rsidR="00B23F03" w:rsidRPr="00A51F0F">
        <w:t>202</w:t>
      </w:r>
      <w:bookmarkEnd w:id="30"/>
      <w:r w:rsidR="00A51F0F">
        <w:t>3</w:t>
      </w:r>
    </w:p>
    <w:p w14:paraId="7DC4347B" w14:textId="6F87B014" w:rsidR="00691C22" w:rsidRPr="00691C22" w:rsidRDefault="00691C22" w:rsidP="00691C22">
      <w:pPr>
        <w:jc w:val="center"/>
        <w:rPr>
          <w:lang w:bidi="hi-IN"/>
        </w:rPr>
      </w:pPr>
      <w:r>
        <w:rPr>
          <w:noProof/>
          <w:lang w:eastAsia="cs-CZ"/>
        </w:rPr>
        <w:drawing>
          <wp:inline distT="0" distB="0" distL="0" distR="0" wp14:anchorId="46CB1579" wp14:editId="76D8A039">
            <wp:extent cx="4798060" cy="2383790"/>
            <wp:effectExtent l="0" t="0" r="254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98060" cy="2383790"/>
                    </a:xfrm>
                    <a:prstGeom prst="rect">
                      <a:avLst/>
                    </a:prstGeom>
                    <a:noFill/>
                  </pic:spPr>
                </pic:pic>
              </a:graphicData>
            </a:graphic>
          </wp:inline>
        </w:drawing>
      </w:r>
    </w:p>
    <w:p w14:paraId="4376D439" w14:textId="22491988" w:rsidR="00E25CC8" w:rsidRPr="003645E8" w:rsidRDefault="00E25CC8" w:rsidP="00CC1241">
      <w:pPr>
        <w:spacing w:before="180" w:line="276" w:lineRule="auto"/>
        <w:jc w:val="center"/>
      </w:pPr>
    </w:p>
    <w:p w14:paraId="315BECA7" w14:textId="7ABD9CAF" w:rsidR="008B64B1" w:rsidRDefault="006D3803" w:rsidP="003645E8">
      <w:pPr>
        <w:rPr>
          <w:sz w:val="22"/>
        </w:rPr>
      </w:pPr>
      <w:bookmarkStart w:id="31" w:name="_Toc168993231"/>
      <w:r w:rsidRPr="003645E8">
        <w:t xml:space="preserve">Tabulka č. </w:t>
      </w:r>
      <w:r w:rsidRPr="003645E8">
        <w:rPr>
          <w:noProof/>
        </w:rPr>
        <w:fldChar w:fldCharType="begin"/>
      </w:r>
      <w:r w:rsidRPr="003645E8">
        <w:rPr>
          <w:noProof/>
        </w:rPr>
        <w:instrText xml:space="preserve"> SEQ Tabulka \* ARABIC </w:instrText>
      </w:r>
      <w:r w:rsidRPr="003645E8">
        <w:rPr>
          <w:noProof/>
        </w:rPr>
        <w:fldChar w:fldCharType="separate"/>
      </w:r>
      <w:r w:rsidR="00904274">
        <w:rPr>
          <w:noProof/>
        </w:rPr>
        <w:t>6</w:t>
      </w:r>
      <w:r w:rsidRPr="003645E8">
        <w:rPr>
          <w:noProof/>
        </w:rPr>
        <w:fldChar w:fldCharType="end"/>
      </w:r>
      <w:r w:rsidRPr="003645E8">
        <w:t xml:space="preserve">: Srovnání zůstatků na bankovních účtech dle zdravotních pojišťoven v roce </w:t>
      </w:r>
      <w:r w:rsidR="003B0381" w:rsidRPr="003645E8">
        <w:t>202</w:t>
      </w:r>
      <w:r w:rsidR="003645E8" w:rsidRPr="003645E8">
        <w:t>3</w:t>
      </w:r>
      <w:bookmarkEnd w:id="31"/>
      <w:r w:rsidR="003645E8">
        <w:rPr>
          <w:rFonts w:ascii="Calibri" w:eastAsiaTheme="minorEastAsia" w:hAnsi="Calibri"/>
          <w:b/>
          <w:bCs/>
          <w:color w:val="1F497D" w:themeColor="text2"/>
          <w:spacing w:val="6"/>
          <w:szCs w:val="21"/>
        </w:rPr>
        <w:fldChar w:fldCharType="begin"/>
      </w:r>
      <w:r w:rsidR="003645E8">
        <w:instrText xml:space="preserve"> LINK </w:instrText>
      </w:r>
      <w:r w:rsidR="008B64B1">
        <w:instrText xml:space="preserve">Excel.Sheet.12 C:\\Users\\13135\\Desktop\\ZDR\\VZ2018-23\\2023\\Tabulková_část_2023_VZfinal.xlsx "TAB 6!R40C12:R44C19" </w:instrText>
      </w:r>
      <w:r w:rsidR="003645E8">
        <w:instrText xml:space="preserve">\a \f 4 \h </w:instrText>
      </w:r>
      <w:r w:rsidR="00C352CF">
        <w:instrText xml:space="preserve"> \* MERGEFORMAT </w:instrText>
      </w:r>
      <w:r w:rsidR="003645E8">
        <w:fldChar w:fldCharType="separate"/>
      </w:r>
    </w:p>
    <w:tbl>
      <w:tblPr>
        <w:tblW w:w="9483" w:type="dxa"/>
        <w:tblCellMar>
          <w:left w:w="70" w:type="dxa"/>
          <w:right w:w="70" w:type="dxa"/>
        </w:tblCellMar>
        <w:tblLook w:val="04A0" w:firstRow="1" w:lastRow="0" w:firstColumn="1" w:lastColumn="0" w:noHBand="0" w:noVBand="1"/>
      </w:tblPr>
      <w:tblGrid>
        <w:gridCol w:w="2679"/>
        <w:gridCol w:w="992"/>
        <w:gridCol w:w="992"/>
        <w:gridCol w:w="992"/>
        <w:gridCol w:w="993"/>
        <w:gridCol w:w="992"/>
        <w:gridCol w:w="992"/>
        <w:gridCol w:w="851"/>
      </w:tblGrid>
      <w:tr w:rsidR="00C352CF" w:rsidRPr="005A6578" w14:paraId="6B88401B" w14:textId="77777777" w:rsidTr="00C352CF">
        <w:trPr>
          <w:divId w:val="1201554540"/>
          <w:trHeight w:val="570"/>
        </w:trPr>
        <w:tc>
          <w:tcPr>
            <w:tcW w:w="2679" w:type="dxa"/>
            <w:tcBorders>
              <w:top w:val="single" w:sz="12" w:space="0" w:color="4F81BD"/>
              <w:left w:val="single" w:sz="12" w:space="0" w:color="4F81BD"/>
              <w:bottom w:val="nil"/>
              <w:right w:val="nil"/>
            </w:tcBorders>
            <w:shd w:val="clear" w:color="000000" w:fill="4F81BD"/>
            <w:vAlign w:val="center"/>
            <w:hideMark/>
          </w:tcPr>
          <w:p w14:paraId="119F308E" w14:textId="7AE153E2" w:rsidR="008B64B1" w:rsidRPr="005A6578" w:rsidRDefault="008B64B1" w:rsidP="008B64B1">
            <w:pPr>
              <w:rPr>
                <w:rFonts w:ascii="Calibri" w:eastAsia="Times New Roman" w:hAnsi="Calibri" w:cs="Calibri"/>
                <w:b/>
                <w:bCs/>
                <w:i/>
                <w:iCs/>
                <w:color w:val="FFFFFF"/>
                <w:szCs w:val="21"/>
                <w:lang w:eastAsia="cs-CZ"/>
              </w:rPr>
            </w:pPr>
            <w:r w:rsidRPr="005A6578">
              <w:rPr>
                <w:rFonts w:ascii="Calibri" w:eastAsia="Times New Roman" w:hAnsi="Calibri" w:cs="Calibri"/>
                <w:b/>
                <w:bCs/>
                <w:i/>
                <w:iCs/>
                <w:color w:val="FFFFFF"/>
                <w:szCs w:val="21"/>
                <w:lang w:eastAsia="cs-CZ"/>
              </w:rPr>
              <w:t>(v mil. Kč )</w:t>
            </w:r>
          </w:p>
        </w:tc>
        <w:tc>
          <w:tcPr>
            <w:tcW w:w="992" w:type="dxa"/>
            <w:tcBorders>
              <w:top w:val="single" w:sz="12" w:space="0" w:color="4F81BD"/>
              <w:left w:val="nil"/>
              <w:bottom w:val="nil"/>
              <w:right w:val="nil"/>
            </w:tcBorders>
            <w:shd w:val="clear" w:color="000000" w:fill="6691C6"/>
            <w:noWrap/>
            <w:vAlign w:val="center"/>
            <w:hideMark/>
          </w:tcPr>
          <w:p w14:paraId="23167BD9" w14:textId="77777777" w:rsidR="008B64B1" w:rsidRPr="005A6578" w:rsidRDefault="008B64B1" w:rsidP="005A6578">
            <w:pPr>
              <w:spacing w:after="0" w:line="240" w:lineRule="auto"/>
              <w:jc w:val="center"/>
              <w:rPr>
                <w:rFonts w:ascii="Calibri" w:eastAsia="Times New Roman" w:hAnsi="Calibri" w:cs="Calibri"/>
                <w:b/>
                <w:bCs/>
                <w:color w:val="FFFFFF"/>
                <w:szCs w:val="21"/>
                <w:lang w:eastAsia="cs-CZ"/>
              </w:rPr>
            </w:pPr>
            <w:r w:rsidRPr="005A6578">
              <w:rPr>
                <w:rFonts w:ascii="Calibri" w:eastAsia="Times New Roman" w:hAnsi="Calibri" w:cs="Calibri"/>
                <w:b/>
                <w:bCs/>
                <w:color w:val="FFFFFF"/>
                <w:szCs w:val="21"/>
                <w:lang w:eastAsia="cs-CZ"/>
              </w:rPr>
              <w:t>VZP ČR</w:t>
            </w:r>
          </w:p>
        </w:tc>
        <w:tc>
          <w:tcPr>
            <w:tcW w:w="992" w:type="dxa"/>
            <w:tcBorders>
              <w:top w:val="single" w:sz="12" w:space="0" w:color="4F81BD"/>
              <w:left w:val="nil"/>
              <w:bottom w:val="nil"/>
              <w:right w:val="nil"/>
            </w:tcBorders>
            <w:shd w:val="clear" w:color="000000" w:fill="4F81BD"/>
            <w:noWrap/>
            <w:vAlign w:val="center"/>
            <w:hideMark/>
          </w:tcPr>
          <w:p w14:paraId="3099F984" w14:textId="77777777" w:rsidR="008B64B1" w:rsidRPr="005A6578" w:rsidRDefault="008B64B1" w:rsidP="005A6578">
            <w:pPr>
              <w:spacing w:after="0" w:line="240" w:lineRule="auto"/>
              <w:jc w:val="center"/>
              <w:rPr>
                <w:rFonts w:ascii="Calibri" w:eastAsia="Times New Roman" w:hAnsi="Calibri" w:cs="Calibri"/>
                <w:b/>
                <w:bCs/>
                <w:color w:val="FFFFFF"/>
                <w:szCs w:val="21"/>
                <w:lang w:eastAsia="cs-CZ"/>
              </w:rPr>
            </w:pPr>
            <w:r w:rsidRPr="005A6578">
              <w:rPr>
                <w:rFonts w:ascii="Calibri" w:eastAsia="Times New Roman" w:hAnsi="Calibri" w:cs="Calibri"/>
                <w:b/>
                <w:bCs/>
                <w:color w:val="FFFFFF"/>
                <w:szCs w:val="21"/>
                <w:lang w:eastAsia="cs-CZ"/>
              </w:rPr>
              <w:t>VoZP ČR</w:t>
            </w:r>
          </w:p>
        </w:tc>
        <w:tc>
          <w:tcPr>
            <w:tcW w:w="992" w:type="dxa"/>
            <w:tcBorders>
              <w:top w:val="single" w:sz="12" w:space="0" w:color="4F81BD"/>
              <w:left w:val="nil"/>
              <w:bottom w:val="nil"/>
              <w:right w:val="nil"/>
            </w:tcBorders>
            <w:shd w:val="clear" w:color="000000" w:fill="6691C6"/>
            <w:noWrap/>
            <w:vAlign w:val="center"/>
            <w:hideMark/>
          </w:tcPr>
          <w:p w14:paraId="1E0613F3" w14:textId="77777777" w:rsidR="008B64B1" w:rsidRPr="005A6578" w:rsidRDefault="008B64B1" w:rsidP="005A6578">
            <w:pPr>
              <w:spacing w:after="0" w:line="240" w:lineRule="auto"/>
              <w:jc w:val="center"/>
              <w:rPr>
                <w:rFonts w:ascii="Calibri" w:eastAsia="Times New Roman" w:hAnsi="Calibri" w:cs="Calibri"/>
                <w:b/>
                <w:bCs/>
                <w:color w:val="FFFFFF"/>
                <w:szCs w:val="21"/>
                <w:lang w:eastAsia="cs-CZ"/>
              </w:rPr>
            </w:pPr>
            <w:r w:rsidRPr="005A6578">
              <w:rPr>
                <w:rFonts w:ascii="Calibri" w:eastAsia="Times New Roman" w:hAnsi="Calibri" w:cs="Calibri"/>
                <w:b/>
                <w:bCs/>
                <w:color w:val="FFFFFF"/>
                <w:szCs w:val="21"/>
                <w:lang w:eastAsia="cs-CZ"/>
              </w:rPr>
              <w:t>ČPZP</w:t>
            </w:r>
          </w:p>
        </w:tc>
        <w:tc>
          <w:tcPr>
            <w:tcW w:w="993" w:type="dxa"/>
            <w:tcBorders>
              <w:top w:val="single" w:sz="12" w:space="0" w:color="4F81BD"/>
              <w:left w:val="nil"/>
              <w:bottom w:val="nil"/>
              <w:right w:val="nil"/>
            </w:tcBorders>
            <w:shd w:val="clear" w:color="000000" w:fill="4F81BD"/>
            <w:vAlign w:val="center"/>
            <w:hideMark/>
          </w:tcPr>
          <w:p w14:paraId="6A380054" w14:textId="77777777" w:rsidR="008B64B1" w:rsidRPr="005A6578" w:rsidRDefault="008B64B1" w:rsidP="005A6578">
            <w:pPr>
              <w:spacing w:after="0" w:line="240" w:lineRule="auto"/>
              <w:jc w:val="center"/>
              <w:rPr>
                <w:rFonts w:ascii="Calibri" w:eastAsia="Times New Roman" w:hAnsi="Calibri" w:cs="Calibri"/>
                <w:b/>
                <w:bCs/>
                <w:color w:val="FFFFFF"/>
                <w:szCs w:val="21"/>
                <w:lang w:eastAsia="cs-CZ"/>
              </w:rPr>
            </w:pPr>
            <w:r w:rsidRPr="005A6578">
              <w:rPr>
                <w:rFonts w:ascii="Calibri" w:eastAsia="Times New Roman" w:hAnsi="Calibri" w:cs="Calibri"/>
                <w:b/>
                <w:bCs/>
                <w:color w:val="FFFFFF"/>
                <w:szCs w:val="21"/>
                <w:lang w:eastAsia="cs-CZ"/>
              </w:rPr>
              <w:t>OZP</w:t>
            </w:r>
          </w:p>
        </w:tc>
        <w:tc>
          <w:tcPr>
            <w:tcW w:w="992" w:type="dxa"/>
            <w:tcBorders>
              <w:top w:val="single" w:sz="12" w:space="0" w:color="4F81BD"/>
              <w:left w:val="nil"/>
              <w:bottom w:val="nil"/>
              <w:right w:val="nil"/>
            </w:tcBorders>
            <w:shd w:val="clear" w:color="000000" w:fill="6691C6"/>
            <w:vAlign w:val="center"/>
            <w:hideMark/>
          </w:tcPr>
          <w:p w14:paraId="0171996B" w14:textId="77777777" w:rsidR="008B64B1" w:rsidRPr="005A6578" w:rsidRDefault="008B64B1" w:rsidP="005A6578">
            <w:pPr>
              <w:spacing w:after="0" w:line="240" w:lineRule="auto"/>
              <w:jc w:val="center"/>
              <w:rPr>
                <w:rFonts w:ascii="Calibri" w:eastAsia="Times New Roman" w:hAnsi="Calibri" w:cs="Calibri"/>
                <w:b/>
                <w:bCs/>
                <w:color w:val="FFFFFF"/>
                <w:szCs w:val="21"/>
                <w:lang w:eastAsia="cs-CZ"/>
              </w:rPr>
            </w:pPr>
            <w:r w:rsidRPr="005A6578">
              <w:rPr>
                <w:rFonts w:ascii="Calibri" w:eastAsia="Times New Roman" w:hAnsi="Calibri" w:cs="Calibri"/>
                <w:b/>
                <w:bCs/>
                <w:color w:val="FFFFFF"/>
                <w:szCs w:val="21"/>
                <w:lang w:eastAsia="cs-CZ"/>
              </w:rPr>
              <w:t>ZPŠ</w:t>
            </w:r>
          </w:p>
        </w:tc>
        <w:tc>
          <w:tcPr>
            <w:tcW w:w="992" w:type="dxa"/>
            <w:tcBorders>
              <w:top w:val="single" w:sz="12" w:space="0" w:color="4F81BD"/>
              <w:left w:val="nil"/>
              <w:bottom w:val="nil"/>
              <w:right w:val="nil"/>
            </w:tcBorders>
            <w:shd w:val="clear" w:color="000000" w:fill="4F81BD"/>
            <w:vAlign w:val="center"/>
            <w:hideMark/>
          </w:tcPr>
          <w:p w14:paraId="7E175DDB" w14:textId="77777777" w:rsidR="008B64B1" w:rsidRPr="005A6578" w:rsidRDefault="008B64B1" w:rsidP="005A6578">
            <w:pPr>
              <w:spacing w:after="0" w:line="240" w:lineRule="auto"/>
              <w:jc w:val="center"/>
              <w:rPr>
                <w:rFonts w:ascii="Calibri" w:eastAsia="Times New Roman" w:hAnsi="Calibri" w:cs="Calibri"/>
                <w:b/>
                <w:bCs/>
                <w:color w:val="FFFFFF"/>
                <w:szCs w:val="21"/>
                <w:lang w:eastAsia="cs-CZ"/>
              </w:rPr>
            </w:pPr>
            <w:r w:rsidRPr="005A6578">
              <w:rPr>
                <w:rFonts w:ascii="Calibri" w:eastAsia="Times New Roman" w:hAnsi="Calibri" w:cs="Calibri"/>
                <w:b/>
                <w:bCs/>
                <w:color w:val="FFFFFF"/>
                <w:szCs w:val="21"/>
                <w:lang w:eastAsia="cs-CZ"/>
              </w:rPr>
              <w:t>ZP MV ČR</w:t>
            </w:r>
          </w:p>
        </w:tc>
        <w:tc>
          <w:tcPr>
            <w:tcW w:w="851" w:type="dxa"/>
            <w:tcBorders>
              <w:top w:val="single" w:sz="12" w:space="0" w:color="4F81BD"/>
              <w:left w:val="nil"/>
              <w:bottom w:val="nil"/>
              <w:right w:val="single" w:sz="12" w:space="0" w:color="4F81BD"/>
            </w:tcBorders>
            <w:shd w:val="clear" w:color="000000" w:fill="6691C6"/>
            <w:vAlign w:val="center"/>
            <w:hideMark/>
          </w:tcPr>
          <w:p w14:paraId="61789F68" w14:textId="77777777" w:rsidR="008B64B1" w:rsidRPr="005A6578" w:rsidRDefault="008B64B1" w:rsidP="005A6578">
            <w:pPr>
              <w:spacing w:after="0" w:line="240" w:lineRule="auto"/>
              <w:jc w:val="center"/>
              <w:rPr>
                <w:rFonts w:ascii="Calibri" w:eastAsia="Times New Roman" w:hAnsi="Calibri" w:cs="Calibri"/>
                <w:b/>
                <w:bCs/>
                <w:color w:val="FFFFFF"/>
                <w:szCs w:val="21"/>
                <w:lang w:eastAsia="cs-CZ"/>
              </w:rPr>
            </w:pPr>
            <w:r w:rsidRPr="005A6578">
              <w:rPr>
                <w:rFonts w:ascii="Calibri" w:eastAsia="Times New Roman" w:hAnsi="Calibri" w:cs="Calibri"/>
                <w:b/>
                <w:bCs/>
                <w:color w:val="FFFFFF"/>
                <w:szCs w:val="21"/>
                <w:lang w:eastAsia="cs-CZ"/>
              </w:rPr>
              <w:t>RBP</w:t>
            </w:r>
          </w:p>
        </w:tc>
      </w:tr>
      <w:tr w:rsidR="00C352CF" w:rsidRPr="005A6578" w14:paraId="65735379" w14:textId="77777777" w:rsidTr="00C352CF">
        <w:trPr>
          <w:divId w:val="1201554540"/>
          <w:trHeight w:val="290"/>
        </w:trPr>
        <w:tc>
          <w:tcPr>
            <w:tcW w:w="2679" w:type="dxa"/>
            <w:tcBorders>
              <w:top w:val="nil"/>
              <w:left w:val="single" w:sz="12" w:space="0" w:color="4F81BD"/>
              <w:bottom w:val="nil"/>
              <w:right w:val="nil"/>
            </w:tcBorders>
            <w:shd w:val="clear" w:color="auto" w:fill="auto"/>
            <w:vAlign w:val="center"/>
            <w:hideMark/>
          </w:tcPr>
          <w:p w14:paraId="65103827" w14:textId="77777777" w:rsidR="008B64B1" w:rsidRPr="005A6578" w:rsidRDefault="008B64B1" w:rsidP="005A6578">
            <w:pPr>
              <w:spacing w:after="0" w:line="240" w:lineRule="auto"/>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VZ 2023</w:t>
            </w:r>
          </w:p>
        </w:tc>
        <w:tc>
          <w:tcPr>
            <w:tcW w:w="992" w:type="dxa"/>
            <w:tcBorders>
              <w:top w:val="nil"/>
              <w:left w:val="nil"/>
              <w:bottom w:val="nil"/>
              <w:right w:val="nil"/>
            </w:tcBorders>
            <w:shd w:val="clear" w:color="000000" w:fill="DCE6F1"/>
            <w:noWrap/>
            <w:vAlign w:val="center"/>
            <w:hideMark/>
          </w:tcPr>
          <w:p w14:paraId="3A47232F"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38 707</w:t>
            </w:r>
          </w:p>
        </w:tc>
        <w:tc>
          <w:tcPr>
            <w:tcW w:w="992" w:type="dxa"/>
            <w:tcBorders>
              <w:top w:val="nil"/>
              <w:left w:val="nil"/>
              <w:bottom w:val="nil"/>
              <w:right w:val="nil"/>
            </w:tcBorders>
            <w:shd w:val="clear" w:color="auto" w:fill="auto"/>
            <w:noWrap/>
            <w:vAlign w:val="center"/>
            <w:hideMark/>
          </w:tcPr>
          <w:p w14:paraId="561D94F2"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847</w:t>
            </w:r>
          </w:p>
        </w:tc>
        <w:tc>
          <w:tcPr>
            <w:tcW w:w="992" w:type="dxa"/>
            <w:tcBorders>
              <w:top w:val="nil"/>
              <w:left w:val="nil"/>
              <w:bottom w:val="nil"/>
              <w:right w:val="nil"/>
            </w:tcBorders>
            <w:shd w:val="clear" w:color="000000" w:fill="DCE6F1"/>
            <w:noWrap/>
            <w:vAlign w:val="center"/>
            <w:hideMark/>
          </w:tcPr>
          <w:p w14:paraId="47E7DDB5"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4 641</w:t>
            </w:r>
          </w:p>
        </w:tc>
        <w:tc>
          <w:tcPr>
            <w:tcW w:w="993" w:type="dxa"/>
            <w:tcBorders>
              <w:top w:val="nil"/>
              <w:left w:val="nil"/>
              <w:bottom w:val="nil"/>
              <w:right w:val="nil"/>
            </w:tcBorders>
            <w:shd w:val="clear" w:color="auto" w:fill="auto"/>
            <w:noWrap/>
            <w:vAlign w:val="center"/>
            <w:hideMark/>
          </w:tcPr>
          <w:p w14:paraId="253141C5"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3 015</w:t>
            </w:r>
          </w:p>
        </w:tc>
        <w:tc>
          <w:tcPr>
            <w:tcW w:w="992" w:type="dxa"/>
            <w:tcBorders>
              <w:top w:val="nil"/>
              <w:left w:val="nil"/>
              <w:bottom w:val="nil"/>
              <w:right w:val="nil"/>
            </w:tcBorders>
            <w:shd w:val="clear" w:color="000000" w:fill="DCE6F1"/>
            <w:noWrap/>
            <w:vAlign w:val="center"/>
            <w:hideMark/>
          </w:tcPr>
          <w:p w14:paraId="6DB4F450"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697</w:t>
            </w:r>
          </w:p>
        </w:tc>
        <w:tc>
          <w:tcPr>
            <w:tcW w:w="992" w:type="dxa"/>
            <w:tcBorders>
              <w:top w:val="nil"/>
              <w:left w:val="nil"/>
              <w:bottom w:val="nil"/>
              <w:right w:val="nil"/>
            </w:tcBorders>
            <w:shd w:val="clear" w:color="auto" w:fill="auto"/>
            <w:noWrap/>
            <w:vAlign w:val="center"/>
            <w:hideMark/>
          </w:tcPr>
          <w:p w14:paraId="520D816B"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5 612</w:t>
            </w:r>
          </w:p>
        </w:tc>
        <w:tc>
          <w:tcPr>
            <w:tcW w:w="851" w:type="dxa"/>
            <w:tcBorders>
              <w:top w:val="nil"/>
              <w:left w:val="nil"/>
              <w:bottom w:val="nil"/>
              <w:right w:val="single" w:sz="12" w:space="0" w:color="4F81BD"/>
            </w:tcBorders>
            <w:shd w:val="clear" w:color="000000" w:fill="DCE6F1"/>
            <w:noWrap/>
            <w:vAlign w:val="center"/>
            <w:hideMark/>
          </w:tcPr>
          <w:p w14:paraId="6B2AD67C"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1 674</w:t>
            </w:r>
          </w:p>
        </w:tc>
      </w:tr>
      <w:tr w:rsidR="00C352CF" w:rsidRPr="005A6578" w14:paraId="14357C3A" w14:textId="77777777" w:rsidTr="00C352CF">
        <w:trPr>
          <w:divId w:val="1201554540"/>
          <w:trHeight w:val="662"/>
        </w:trPr>
        <w:tc>
          <w:tcPr>
            <w:tcW w:w="2679" w:type="dxa"/>
            <w:tcBorders>
              <w:top w:val="nil"/>
              <w:left w:val="single" w:sz="12" w:space="0" w:color="4F81BD"/>
              <w:bottom w:val="nil"/>
              <w:right w:val="nil"/>
            </w:tcBorders>
            <w:shd w:val="clear" w:color="000000" w:fill="EEF3F8"/>
            <w:vAlign w:val="center"/>
            <w:hideMark/>
          </w:tcPr>
          <w:p w14:paraId="14562FB0" w14:textId="77777777" w:rsidR="008B64B1" w:rsidRPr="005A6578" w:rsidRDefault="008B64B1" w:rsidP="005A6578">
            <w:pPr>
              <w:spacing w:after="0" w:line="240" w:lineRule="auto"/>
              <w:rPr>
                <w:rFonts w:ascii="Calibri" w:eastAsia="Times New Roman" w:hAnsi="Calibri" w:cs="Calibri"/>
                <w:color w:val="000000"/>
                <w:szCs w:val="21"/>
                <w:lang w:eastAsia="cs-CZ"/>
              </w:rPr>
            </w:pPr>
            <w:r w:rsidRPr="005A6578">
              <w:rPr>
                <w:rFonts w:ascii="Calibri" w:eastAsia="Times New Roman" w:hAnsi="Calibri" w:cs="Calibri"/>
                <w:color w:val="000000"/>
                <w:szCs w:val="21"/>
                <w:lang w:eastAsia="cs-CZ"/>
              </w:rPr>
              <w:t>Podíl zůstatků na celkových ročních výdajích</w:t>
            </w:r>
          </w:p>
        </w:tc>
        <w:tc>
          <w:tcPr>
            <w:tcW w:w="992" w:type="dxa"/>
            <w:tcBorders>
              <w:top w:val="nil"/>
              <w:left w:val="nil"/>
              <w:bottom w:val="nil"/>
              <w:right w:val="nil"/>
            </w:tcBorders>
            <w:shd w:val="clear" w:color="000000" w:fill="EEF3F8"/>
            <w:noWrap/>
            <w:vAlign w:val="center"/>
            <w:hideMark/>
          </w:tcPr>
          <w:p w14:paraId="49702789" w14:textId="71182901" w:rsidR="008B64B1" w:rsidRPr="005A6578" w:rsidRDefault="008B64B1" w:rsidP="005A6578">
            <w:pPr>
              <w:spacing w:after="0" w:line="240" w:lineRule="auto"/>
              <w:jc w:val="right"/>
              <w:rPr>
                <w:rFonts w:ascii="Calibri" w:eastAsia="Times New Roman" w:hAnsi="Calibri" w:cs="Calibri"/>
                <w:color w:val="000000"/>
                <w:szCs w:val="21"/>
                <w:lang w:eastAsia="cs-CZ"/>
              </w:rPr>
            </w:pPr>
            <w:r w:rsidRPr="005A6578">
              <w:rPr>
                <w:rFonts w:ascii="Calibri" w:eastAsia="Times New Roman" w:hAnsi="Calibri" w:cs="Calibri"/>
                <w:color w:val="000000"/>
                <w:szCs w:val="21"/>
                <w:lang w:eastAsia="cs-CZ"/>
              </w:rPr>
              <w:t>14,1</w:t>
            </w:r>
            <w:r w:rsidR="00860B90">
              <w:rPr>
                <w:rFonts w:ascii="Calibri" w:eastAsia="Times New Roman" w:hAnsi="Calibri" w:cs="Calibri"/>
                <w:color w:val="000000"/>
                <w:szCs w:val="21"/>
                <w:lang w:eastAsia="cs-CZ"/>
              </w:rPr>
              <w:t xml:space="preserve"> %</w:t>
            </w:r>
          </w:p>
        </w:tc>
        <w:tc>
          <w:tcPr>
            <w:tcW w:w="992" w:type="dxa"/>
            <w:tcBorders>
              <w:top w:val="nil"/>
              <w:left w:val="nil"/>
              <w:bottom w:val="nil"/>
              <w:right w:val="nil"/>
            </w:tcBorders>
            <w:shd w:val="clear" w:color="000000" w:fill="EEF3F8"/>
            <w:noWrap/>
            <w:vAlign w:val="center"/>
            <w:hideMark/>
          </w:tcPr>
          <w:p w14:paraId="6EA9A03D" w14:textId="1A4F1C7F" w:rsidR="008B64B1" w:rsidRPr="005A6578" w:rsidRDefault="008B64B1" w:rsidP="005A6578">
            <w:pPr>
              <w:spacing w:after="0" w:line="240" w:lineRule="auto"/>
              <w:jc w:val="right"/>
              <w:rPr>
                <w:rFonts w:ascii="Calibri" w:eastAsia="Times New Roman" w:hAnsi="Calibri" w:cs="Calibri"/>
                <w:color w:val="000000"/>
                <w:szCs w:val="21"/>
                <w:lang w:eastAsia="cs-CZ"/>
              </w:rPr>
            </w:pPr>
            <w:r w:rsidRPr="005A6578">
              <w:rPr>
                <w:rFonts w:ascii="Calibri" w:eastAsia="Times New Roman" w:hAnsi="Calibri" w:cs="Calibri"/>
                <w:color w:val="000000"/>
                <w:szCs w:val="21"/>
                <w:lang w:eastAsia="cs-CZ"/>
              </w:rPr>
              <w:t>2,9</w:t>
            </w:r>
            <w:r w:rsidR="00860B90">
              <w:rPr>
                <w:rFonts w:ascii="Calibri" w:eastAsia="Times New Roman" w:hAnsi="Calibri" w:cs="Calibri"/>
                <w:color w:val="000000"/>
                <w:szCs w:val="21"/>
                <w:lang w:eastAsia="cs-CZ"/>
              </w:rPr>
              <w:t xml:space="preserve"> %</w:t>
            </w:r>
          </w:p>
        </w:tc>
        <w:tc>
          <w:tcPr>
            <w:tcW w:w="992" w:type="dxa"/>
            <w:tcBorders>
              <w:top w:val="nil"/>
              <w:left w:val="nil"/>
              <w:bottom w:val="nil"/>
              <w:right w:val="nil"/>
            </w:tcBorders>
            <w:shd w:val="clear" w:color="000000" w:fill="EEF3F8"/>
            <w:noWrap/>
            <w:vAlign w:val="center"/>
            <w:hideMark/>
          </w:tcPr>
          <w:p w14:paraId="7C752C75" w14:textId="2138CC8F" w:rsidR="008B64B1" w:rsidRPr="005A6578" w:rsidRDefault="008B64B1" w:rsidP="005A6578">
            <w:pPr>
              <w:spacing w:after="0" w:line="240" w:lineRule="auto"/>
              <w:jc w:val="right"/>
              <w:rPr>
                <w:rFonts w:ascii="Calibri" w:eastAsia="Times New Roman" w:hAnsi="Calibri" w:cs="Calibri"/>
                <w:color w:val="000000"/>
                <w:szCs w:val="21"/>
                <w:lang w:eastAsia="cs-CZ"/>
              </w:rPr>
            </w:pPr>
            <w:r w:rsidRPr="005A6578">
              <w:rPr>
                <w:rFonts w:ascii="Calibri" w:eastAsia="Times New Roman" w:hAnsi="Calibri" w:cs="Calibri"/>
                <w:color w:val="000000"/>
                <w:szCs w:val="21"/>
                <w:lang w:eastAsia="cs-CZ"/>
              </w:rPr>
              <w:t>8,9</w:t>
            </w:r>
            <w:r w:rsidR="00860B90">
              <w:rPr>
                <w:rFonts w:ascii="Calibri" w:eastAsia="Times New Roman" w:hAnsi="Calibri" w:cs="Calibri"/>
                <w:color w:val="000000"/>
                <w:szCs w:val="21"/>
                <w:lang w:eastAsia="cs-CZ"/>
              </w:rPr>
              <w:t xml:space="preserve"> %</w:t>
            </w:r>
          </w:p>
        </w:tc>
        <w:tc>
          <w:tcPr>
            <w:tcW w:w="993" w:type="dxa"/>
            <w:tcBorders>
              <w:top w:val="nil"/>
              <w:left w:val="nil"/>
              <w:bottom w:val="nil"/>
              <w:right w:val="nil"/>
            </w:tcBorders>
            <w:shd w:val="clear" w:color="000000" w:fill="EEF3F8"/>
            <w:noWrap/>
            <w:vAlign w:val="center"/>
            <w:hideMark/>
          </w:tcPr>
          <w:p w14:paraId="36377EB6" w14:textId="43FB7DF6" w:rsidR="008B64B1" w:rsidRPr="005A6578" w:rsidRDefault="008B64B1" w:rsidP="005A6578">
            <w:pPr>
              <w:spacing w:after="0" w:line="240" w:lineRule="auto"/>
              <w:jc w:val="right"/>
              <w:rPr>
                <w:rFonts w:ascii="Calibri" w:eastAsia="Times New Roman" w:hAnsi="Calibri" w:cs="Calibri"/>
                <w:color w:val="000000"/>
                <w:szCs w:val="21"/>
                <w:lang w:eastAsia="cs-CZ"/>
              </w:rPr>
            </w:pPr>
            <w:r w:rsidRPr="005A6578">
              <w:rPr>
                <w:rFonts w:ascii="Calibri" w:eastAsia="Times New Roman" w:hAnsi="Calibri" w:cs="Calibri"/>
                <w:color w:val="000000"/>
                <w:szCs w:val="21"/>
                <w:lang w:eastAsia="cs-CZ"/>
              </w:rPr>
              <w:t>9,9</w:t>
            </w:r>
            <w:r w:rsidR="00860B90">
              <w:rPr>
                <w:rFonts w:ascii="Calibri" w:eastAsia="Times New Roman" w:hAnsi="Calibri" w:cs="Calibri"/>
                <w:color w:val="000000"/>
                <w:szCs w:val="21"/>
                <w:lang w:eastAsia="cs-CZ"/>
              </w:rPr>
              <w:t xml:space="preserve"> %</w:t>
            </w:r>
          </w:p>
        </w:tc>
        <w:tc>
          <w:tcPr>
            <w:tcW w:w="992" w:type="dxa"/>
            <w:tcBorders>
              <w:top w:val="nil"/>
              <w:left w:val="nil"/>
              <w:bottom w:val="nil"/>
              <w:right w:val="nil"/>
            </w:tcBorders>
            <w:shd w:val="clear" w:color="000000" w:fill="EEF3F8"/>
            <w:noWrap/>
            <w:vAlign w:val="center"/>
            <w:hideMark/>
          </w:tcPr>
          <w:p w14:paraId="0A04EFDA" w14:textId="2D34759B" w:rsidR="008B64B1" w:rsidRPr="005A6578" w:rsidRDefault="008B64B1" w:rsidP="005A6578">
            <w:pPr>
              <w:spacing w:after="0" w:line="240" w:lineRule="auto"/>
              <w:jc w:val="right"/>
              <w:rPr>
                <w:rFonts w:ascii="Calibri" w:eastAsia="Times New Roman" w:hAnsi="Calibri" w:cs="Calibri"/>
                <w:color w:val="000000"/>
                <w:szCs w:val="21"/>
                <w:lang w:eastAsia="cs-CZ"/>
              </w:rPr>
            </w:pPr>
            <w:r w:rsidRPr="005A6578">
              <w:rPr>
                <w:rFonts w:ascii="Calibri" w:eastAsia="Times New Roman" w:hAnsi="Calibri" w:cs="Calibri"/>
                <w:color w:val="000000"/>
                <w:szCs w:val="21"/>
                <w:lang w:eastAsia="cs-CZ"/>
              </w:rPr>
              <w:t>10,9</w:t>
            </w:r>
            <w:r w:rsidR="00860B90">
              <w:rPr>
                <w:rFonts w:ascii="Calibri" w:eastAsia="Times New Roman" w:hAnsi="Calibri" w:cs="Calibri"/>
                <w:color w:val="000000"/>
                <w:szCs w:val="21"/>
                <w:lang w:eastAsia="cs-CZ"/>
              </w:rPr>
              <w:t xml:space="preserve"> %</w:t>
            </w:r>
          </w:p>
        </w:tc>
        <w:tc>
          <w:tcPr>
            <w:tcW w:w="992" w:type="dxa"/>
            <w:tcBorders>
              <w:top w:val="nil"/>
              <w:left w:val="nil"/>
              <w:bottom w:val="nil"/>
              <w:right w:val="nil"/>
            </w:tcBorders>
            <w:shd w:val="clear" w:color="000000" w:fill="EEF3F8"/>
            <w:noWrap/>
            <w:vAlign w:val="center"/>
            <w:hideMark/>
          </w:tcPr>
          <w:p w14:paraId="7A72289A" w14:textId="55468985" w:rsidR="008B64B1" w:rsidRPr="005A6578" w:rsidRDefault="008B64B1" w:rsidP="005A6578">
            <w:pPr>
              <w:spacing w:after="0" w:line="240" w:lineRule="auto"/>
              <w:jc w:val="right"/>
              <w:rPr>
                <w:rFonts w:ascii="Calibri" w:eastAsia="Times New Roman" w:hAnsi="Calibri" w:cs="Calibri"/>
                <w:color w:val="000000"/>
                <w:szCs w:val="21"/>
                <w:lang w:eastAsia="cs-CZ"/>
              </w:rPr>
            </w:pPr>
            <w:r w:rsidRPr="005A6578">
              <w:rPr>
                <w:rFonts w:ascii="Calibri" w:eastAsia="Times New Roman" w:hAnsi="Calibri" w:cs="Calibri"/>
                <w:color w:val="000000"/>
                <w:szCs w:val="21"/>
                <w:lang w:eastAsia="cs-CZ"/>
              </w:rPr>
              <w:t>9,8</w:t>
            </w:r>
            <w:r w:rsidR="00860B90">
              <w:rPr>
                <w:rFonts w:ascii="Calibri" w:eastAsia="Times New Roman" w:hAnsi="Calibri" w:cs="Calibri"/>
                <w:color w:val="000000"/>
                <w:szCs w:val="21"/>
                <w:lang w:eastAsia="cs-CZ"/>
              </w:rPr>
              <w:t xml:space="preserve"> %</w:t>
            </w:r>
          </w:p>
        </w:tc>
        <w:tc>
          <w:tcPr>
            <w:tcW w:w="851" w:type="dxa"/>
            <w:tcBorders>
              <w:top w:val="nil"/>
              <w:left w:val="nil"/>
              <w:bottom w:val="nil"/>
              <w:right w:val="single" w:sz="12" w:space="0" w:color="4F81BD"/>
            </w:tcBorders>
            <w:shd w:val="clear" w:color="000000" w:fill="EEF3F8"/>
            <w:noWrap/>
            <w:vAlign w:val="center"/>
            <w:hideMark/>
          </w:tcPr>
          <w:p w14:paraId="088C94CF" w14:textId="13379D70" w:rsidR="008B64B1" w:rsidRPr="005A6578" w:rsidRDefault="008B64B1" w:rsidP="005A6578">
            <w:pPr>
              <w:spacing w:after="0" w:line="240" w:lineRule="auto"/>
              <w:jc w:val="right"/>
              <w:rPr>
                <w:rFonts w:ascii="Calibri" w:eastAsia="Times New Roman" w:hAnsi="Calibri" w:cs="Calibri"/>
                <w:color w:val="000000"/>
                <w:szCs w:val="21"/>
                <w:lang w:eastAsia="cs-CZ"/>
              </w:rPr>
            </w:pPr>
            <w:r w:rsidRPr="005A6578">
              <w:rPr>
                <w:rFonts w:ascii="Calibri" w:eastAsia="Times New Roman" w:hAnsi="Calibri" w:cs="Calibri"/>
                <w:color w:val="000000"/>
                <w:szCs w:val="21"/>
                <w:lang w:eastAsia="cs-CZ"/>
              </w:rPr>
              <w:t>9,4</w:t>
            </w:r>
            <w:r w:rsidR="00860B90">
              <w:rPr>
                <w:rFonts w:ascii="Calibri" w:eastAsia="Times New Roman" w:hAnsi="Calibri" w:cs="Calibri"/>
                <w:color w:val="000000"/>
                <w:szCs w:val="21"/>
                <w:lang w:eastAsia="cs-CZ"/>
              </w:rPr>
              <w:t xml:space="preserve"> %</w:t>
            </w:r>
          </w:p>
        </w:tc>
      </w:tr>
      <w:tr w:rsidR="00C352CF" w:rsidRPr="005A6578" w14:paraId="4F6BD9C0" w14:textId="77777777" w:rsidTr="00C352CF">
        <w:trPr>
          <w:divId w:val="1201554540"/>
          <w:trHeight w:val="290"/>
        </w:trPr>
        <w:tc>
          <w:tcPr>
            <w:tcW w:w="2679" w:type="dxa"/>
            <w:tcBorders>
              <w:top w:val="nil"/>
              <w:left w:val="single" w:sz="12" w:space="0" w:color="4F81BD"/>
              <w:bottom w:val="nil"/>
              <w:right w:val="nil"/>
            </w:tcBorders>
            <w:shd w:val="clear" w:color="auto" w:fill="auto"/>
            <w:vAlign w:val="center"/>
            <w:hideMark/>
          </w:tcPr>
          <w:p w14:paraId="62EB8B4B" w14:textId="77777777" w:rsidR="008B64B1" w:rsidRPr="005A6578" w:rsidRDefault="008B64B1" w:rsidP="005A6578">
            <w:pPr>
              <w:spacing w:after="0" w:line="240" w:lineRule="auto"/>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ZPP 2023</w:t>
            </w:r>
          </w:p>
        </w:tc>
        <w:tc>
          <w:tcPr>
            <w:tcW w:w="992" w:type="dxa"/>
            <w:tcBorders>
              <w:top w:val="nil"/>
              <w:left w:val="nil"/>
              <w:bottom w:val="nil"/>
              <w:right w:val="nil"/>
            </w:tcBorders>
            <w:shd w:val="clear" w:color="000000" w:fill="DCE6F1"/>
            <w:noWrap/>
            <w:vAlign w:val="center"/>
            <w:hideMark/>
          </w:tcPr>
          <w:p w14:paraId="014BAE5E"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28 772</w:t>
            </w:r>
          </w:p>
        </w:tc>
        <w:tc>
          <w:tcPr>
            <w:tcW w:w="992" w:type="dxa"/>
            <w:tcBorders>
              <w:top w:val="nil"/>
              <w:left w:val="nil"/>
              <w:bottom w:val="nil"/>
              <w:right w:val="nil"/>
            </w:tcBorders>
            <w:shd w:val="clear" w:color="auto" w:fill="auto"/>
            <w:noWrap/>
            <w:vAlign w:val="center"/>
            <w:hideMark/>
          </w:tcPr>
          <w:p w14:paraId="4F6CF1C3"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581</w:t>
            </w:r>
          </w:p>
        </w:tc>
        <w:tc>
          <w:tcPr>
            <w:tcW w:w="992" w:type="dxa"/>
            <w:tcBorders>
              <w:top w:val="nil"/>
              <w:left w:val="nil"/>
              <w:bottom w:val="nil"/>
              <w:right w:val="nil"/>
            </w:tcBorders>
            <w:shd w:val="clear" w:color="000000" w:fill="DCE6F1"/>
            <w:noWrap/>
            <w:vAlign w:val="center"/>
            <w:hideMark/>
          </w:tcPr>
          <w:p w14:paraId="2183A6BA"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3 061</w:t>
            </w:r>
          </w:p>
        </w:tc>
        <w:tc>
          <w:tcPr>
            <w:tcW w:w="993" w:type="dxa"/>
            <w:tcBorders>
              <w:top w:val="nil"/>
              <w:left w:val="nil"/>
              <w:bottom w:val="nil"/>
              <w:right w:val="nil"/>
            </w:tcBorders>
            <w:shd w:val="clear" w:color="auto" w:fill="auto"/>
            <w:noWrap/>
            <w:vAlign w:val="center"/>
            <w:hideMark/>
          </w:tcPr>
          <w:p w14:paraId="529FE730"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2 499</w:t>
            </w:r>
          </w:p>
        </w:tc>
        <w:tc>
          <w:tcPr>
            <w:tcW w:w="992" w:type="dxa"/>
            <w:tcBorders>
              <w:top w:val="nil"/>
              <w:left w:val="nil"/>
              <w:bottom w:val="nil"/>
              <w:right w:val="nil"/>
            </w:tcBorders>
            <w:shd w:val="clear" w:color="000000" w:fill="DCE6F1"/>
            <w:noWrap/>
            <w:vAlign w:val="center"/>
            <w:hideMark/>
          </w:tcPr>
          <w:p w14:paraId="5B75106D"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445</w:t>
            </w:r>
          </w:p>
        </w:tc>
        <w:tc>
          <w:tcPr>
            <w:tcW w:w="992" w:type="dxa"/>
            <w:tcBorders>
              <w:top w:val="nil"/>
              <w:left w:val="nil"/>
              <w:bottom w:val="nil"/>
              <w:right w:val="nil"/>
            </w:tcBorders>
            <w:shd w:val="clear" w:color="auto" w:fill="auto"/>
            <w:noWrap/>
            <w:vAlign w:val="center"/>
            <w:hideMark/>
          </w:tcPr>
          <w:p w14:paraId="35040655"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4 789</w:t>
            </w:r>
          </w:p>
        </w:tc>
        <w:tc>
          <w:tcPr>
            <w:tcW w:w="851" w:type="dxa"/>
            <w:tcBorders>
              <w:top w:val="nil"/>
              <w:left w:val="nil"/>
              <w:bottom w:val="nil"/>
              <w:right w:val="single" w:sz="12" w:space="0" w:color="4F81BD"/>
            </w:tcBorders>
            <w:shd w:val="clear" w:color="000000" w:fill="DCE6F1"/>
            <w:noWrap/>
            <w:vAlign w:val="center"/>
            <w:hideMark/>
          </w:tcPr>
          <w:p w14:paraId="7673B175" w14:textId="77777777" w:rsidR="008B64B1" w:rsidRPr="005A6578" w:rsidRDefault="008B64B1" w:rsidP="005A6578">
            <w:pPr>
              <w:spacing w:after="0" w:line="240" w:lineRule="auto"/>
              <w:jc w:val="right"/>
              <w:rPr>
                <w:rFonts w:ascii="Calibri" w:eastAsia="Times New Roman" w:hAnsi="Calibri" w:cs="Calibri"/>
                <w:b/>
                <w:bCs/>
                <w:color w:val="000000"/>
                <w:szCs w:val="21"/>
                <w:lang w:eastAsia="cs-CZ"/>
              </w:rPr>
            </w:pPr>
            <w:r w:rsidRPr="005A6578">
              <w:rPr>
                <w:rFonts w:ascii="Calibri" w:eastAsia="Times New Roman" w:hAnsi="Calibri" w:cs="Calibri"/>
                <w:b/>
                <w:bCs/>
                <w:color w:val="000000"/>
                <w:szCs w:val="21"/>
                <w:lang w:eastAsia="cs-CZ"/>
              </w:rPr>
              <w:t>1 756</w:t>
            </w:r>
          </w:p>
        </w:tc>
      </w:tr>
      <w:tr w:rsidR="00C352CF" w:rsidRPr="005A6578" w14:paraId="68EA2D86" w14:textId="77777777" w:rsidTr="00C352CF">
        <w:trPr>
          <w:divId w:val="1201554540"/>
          <w:trHeight w:val="704"/>
        </w:trPr>
        <w:tc>
          <w:tcPr>
            <w:tcW w:w="2679" w:type="dxa"/>
            <w:tcBorders>
              <w:top w:val="nil"/>
              <w:left w:val="single" w:sz="12" w:space="0" w:color="4F81BD"/>
              <w:bottom w:val="single" w:sz="12" w:space="0" w:color="4F81BD"/>
              <w:right w:val="nil"/>
            </w:tcBorders>
            <w:shd w:val="clear" w:color="000000" w:fill="EEF3F8"/>
            <w:vAlign w:val="center"/>
            <w:hideMark/>
          </w:tcPr>
          <w:p w14:paraId="778D8B84" w14:textId="77777777" w:rsidR="008B64B1" w:rsidRPr="005A6578" w:rsidRDefault="008B64B1" w:rsidP="005A6578">
            <w:pPr>
              <w:spacing w:after="0" w:line="240" w:lineRule="auto"/>
              <w:rPr>
                <w:rFonts w:ascii="Calibri" w:eastAsia="Times New Roman" w:hAnsi="Calibri" w:cs="Calibri"/>
                <w:color w:val="000000"/>
                <w:szCs w:val="21"/>
                <w:lang w:eastAsia="cs-CZ"/>
              </w:rPr>
            </w:pPr>
            <w:r w:rsidRPr="005A6578">
              <w:rPr>
                <w:rFonts w:ascii="Calibri" w:eastAsia="Times New Roman" w:hAnsi="Calibri" w:cs="Calibri"/>
                <w:color w:val="000000"/>
                <w:szCs w:val="21"/>
                <w:lang w:eastAsia="cs-CZ"/>
              </w:rPr>
              <w:t>Podíl zůstatků na celkových ročních výdajích</w:t>
            </w:r>
          </w:p>
        </w:tc>
        <w:tc>
          <w:tcPr>
            <w:tcW w:w="992" w:type="dxa"/>
            <w:tcBorders>
              <w:top w:val="nil"/>
              <w:left w:val="nil"/>
              <w:bottom w:val="single" w:sz="12" w:space="0" w:color="4F81BD"/>
              <w:right w:val="nil"/>
            </w:tcBorders>
            <w:shd w:val="clear" w:color="000000" w:fill="EEF3F8"/>
            <w:noWrap/>
            <w:vAlign w:val="center"/>
            <w:hideMark/>
          </w:tcPr>
          <w:p w14:paraId="0C2E2EF5" w14:textId="1EFDBFD6" w:rsidR="008B64B1" w:rsidRPr="005A6578" w:rsidRDefault="008B64B1" w:rsidP="005A6578">
            <w:pPr>
              <w:spacing w:after="0" w:line="240" w:lineRule="auto"/>
              <w:jc w:val="right"/>
              <w:rPr>
                <w:rFonts w:ascii="Calibri" w:eastAsia="Times New Roman" w:hAnsi="Calibri" w:cs="Calibri"/>
                <w:color w:val="000000"/>
                <w:sz w:val="22"/>
                <w:lang w:eastAsia="cs-CZ"/>
              </w:rPr>
            </w:pPr>
            <w:r w:rsidRPr="005A6578">
              <w:rPr>
                <w:rFonts w:ascii="Calibri" w:eastAsia="Times New Roman" w:hAnsi="Calibri" w:cs="Calibri"/>
                <w:color w:val="000000"/>
                <w:sz w:val="22"/>
                <w:lang w:eastAsia="cs-CZ"/>
              </w:rPr>
              <w:t>10,3</w:t>
            </w:r>
            <w:r w:rsidR="00860B90">
              <w:rPr>
                <w:rFonts w:ascii="Calibri" w:eastAsia="Times New Roman" w:hAnsi="Calibri" w:cs="Calibri"/>
                <w:color w:val="000000"/>
                <w:sz w:val="22"/>
                <w:lang w:eastAsia="cs-CZ"/>
              </w:rPr>
              <w:t xml:space="preserve"> %</w:t>
            </w:r>
          </w:p>
        </w:tc>
        <w:tc>
          <w:tcPr>
            <w:tcW w:w="992" w:type="dxa"/>
            <w:tcBorders>
              <w:top w:val="nil"/>
              <w:left w:val="nil"/>
              <w:bottom w:val="single" w:sz="12" w:space="0" w:color="4F81BD"/>
              <w:right w:val="nil"/>
            </w:tcBorders>
            <w:shd w:val="clear" w:color="000000" w:fill="EEF3F8"/>
            <w:noWrap/>
            <w:vAlign w:val="center"/>
            <w:hideMark/>
          </w:tcPr>
          <w:p w14:paraId="62CC24F9" w14:textId="4D6FCB86" w:rsidR="008B64B1" w:rsidRPr="005A6578" w:rsidRDefault="008B64B1" w:rsidP="005A6578">
            <w:pPr>
              <w:spacing w:after="0" w:line="240" w:lineRule="auto"/>
              <w:jc w:val="right"/>
              <w:rPr>
                <w:rFonts w:ascii="Calibri" w:eastAsia="Times New Roman" w:hAnsi="Calibri" w:cs="Calibri"/>
                <w:color w:val="000000"/>
                <w:sz w:val="22"/>
                <w:lang w:eastAsia="cs-CZ"/>
              </w:rPr>
            </w:pPr>
            <w:r w:rsidRPr="005A6578">
              <w:rPr>
                <w:rFonts w:ascii="Calibri" w:eastAsia="Times New Roman" w:hAnsi="Calibri" w:cs="Calibri"/>
                <w:color w:val="000000"/>
                <w:sz w:val="22"/>
                <w:lang w:eastAsia="cs-CZ"/>
              </w:rPr>
              <w:t>1,9</w:t>
            </w:r>
            <w:r w:rsidR="00860B90">
              <w:rPr>
                <w:rFonts w:ascii="Calibri" w:eastAsia="Times New Roman" w:hAnsi="Calibri" w:cs="Calibri"/>
                <w:color w:val="000000"/>
                <w:sz w:val="22"/>
                <w:lang w:eastAsia="cs-CZ"/>
              </w:rPr>
              <w:t xml:space="preserve"> %</w:t>
            </w:r>
          </w:p>
        </w:tc>
        <w:tc>
          <w:tcPr>
            <w:tcW w:w="992" w:type="dxa"/>
            <w:tcBorders>
              <w:top w:val="nil"/>
              <w:left w:val="nil"/>
              <w:bottom w:val="single" w:sz="12" w:space="0" w:color="4F81BD"/>
              <w:right w:val="nil"/>
            </w:tcBorders>
            <w:shd w:val="clear" w:color="000000" w:fill="EEF3F8"/>
            <w:noWrap/>
            <w:vAlign w:val="center"/>
            <w:hideMark/>
          </w:tcPr>
          <w:p w14:paraId="4CB35898" w14:textId="21EB91B1" w:rsidR="008B64B1" w:rsidRPr="005A6578" w:rsidRDefault="008B64B1" w:rsidP="005A6578">
            <w:pPr>
              <w:spacing w:after="0" w:line="240" w:lineRule="auto"/>
              <w:jc w:val="right"/>
              <w:rPr>
                <w:rFonts w:ascii="Calibri" w:eastAsia="Times New Roman" w:hAnsi="Calibri" w:cs="Calibri"/>
                <w:color w:val="000000"/>
                <w:sz w:val="22"/>
                <w:lang w:eastAsia="cs-CZ"/>
              </w:rPr>
            </w:pPr>
            <w:r w:rsidRPr="005A6578">
              <w:rPr>
                <w:rFonts w:ascii="Calibri" w:eastAsia="Times New Roman" w:hAnsi="Calibri" w:cs="Calibri"/>
                <w:color w:val="000000"/>
                <w:sz w:val="22"/>
                <w:lang w:eastAsia="cs-CZ"/>
              </w:rPr>
              <w:t>5,9</w:t>
            </w:r>
            <w:r w:rsidR="00860B90">
              <w:rPr>
                <w:rFonts w:ascii="Calibri" w:eastAsia="Times New Roman" w:hAnsi="Calibri" w:cs="Calibri"/>
                <w:color w:val="000000"/>
                <w:sz w:val="22"/>
                <w:lang w:eastAsia="cs-CZ"/>
              </w:rPr>
              <w:t xml:space="preserve"> %</w:t>
            </w:r>
          </w:p>
        </w:tc>
        <w:tc>
          <w:tcPr>
            <w:tcW w:w="993" w:type="dxa"/>
            <w:tcBorders>
              <w:top w:val="nil"/>
              <w:left w:val="nil"/>
              <w:bottom w:val="single" w:sz="12" w:space="0" w:color="4F81BD"/>
              <w:right w:val="nil"/>
            </w:tcBorders>
            <w:shd w:val="clear" w:color="000000" w:fill="EEF3F8"/>
            <w:noWrap/>
            <w:vAlign w:val="center"/>
            <w:hideMark/>
          </w:tcPr>
          <w:p w14:paraId="175AADE4" w14:textId="08CAB079" w:rsidR="008B64B1" w:rsidRPr="005A6578" w:rsidRDefault="008B64B1" w:rsidP="005A6578">
            <w:pPr>
              <w:spacing w:after="0" w:line="240" w:lineRule="auto"/>
              <w:jc w:val="right"/>
              <w:rPr>
                <w:rFonts w:ascii="Calibri" w:eastAsia="Times New Roman" w:hAnsi="Calibri" w:cs="Calibri"/>
                <w:color w:val="000000"/>
                <w:sz w:val="22"/>
                <w:lang w:eastAsia="cs-CZ"/>
              </w:rPr>
            </w:pPr>
            <w:r w:rsidRPr="005A6578">
              <w:rPr>
                <w:rFonts w:ascii="Calibri" w:eastAsia="Times New Roman" w:hAnsi="Calibri" w:cs="Calibri"/>
                <w:color w:val="000000"/>
                <w:sz w:val="22"/>
                <w:lang w:eastAsia="cs-CZ"/>
              </w:rPr>
              <w:t>8,2</w:t>
            </w:r>
            <w:r w:rsidR="00860B90">
              <w:rPr>
                <w:rFonts w:ascii="Calibri" w:eastAsia="Times New Roman" w:hAnsi="Calibri" w:cs="Calibri"/>
                <w:color w:val="000000"/>
                <w:sz w:val="22"/>
                <w:lang w:eastAsia="cs-CZ"/>
              </w:rPr>
              <w:t xml:space="preserve"> %</w:t>
            </w:r>
          </w:p>
        </w:tc>
        <w:tc>
          <w:tcPr>
            <w:tcW w:w="992" w:type="dxa"/>
            <w:tcBorders>
              <w:top w:val="nil"/>
              <w:left w:val="nil"/>
              <w:bottom w:val="single" w:sz="12" w:space="0" w:color="4F81BD"/>
              <w:right w:val="nil"/>
            </w:tcBorders>
            <w:shd w:val="clear" w:color="000000" w:fill="EEF3F8"/>
            <w:noWrap/>
            <w:vAlign w:val="center"/>
            <w:hideMark/>
          </w:tcPr>
          <w:p w14:paraId="0CCDC22C" w14:textId="64F75A00" w:rsidR="008B64B1" w:rsidRPr="005A6578" w:rsidRDefault="008B64B1" w:rsidP="005A6578">
            <w:pPr>
              <w:spacing w:after="0" w:line="240" w:lineRule="auto"/>
              <w:jc w:val="right"/>
              <w:rPr>
                <w:rFonts w:ascii="Calibri" w:eastAsia="Times New Roman" w:hAnsi="Calibri" w:cs="Calibri"/>
                <w:color w:val="000000"/>
                <w:sz w:val="22"/>
                <w:lang w:eastAsia="cs-CZ"/>
              </w:rPr>
            </w:pPr>
            <w:r w:rsidRPr="005A6578">
              <w:rPr>
                <w:rFonts w:ascii="Calibri" w:eastAsia="Times New Roman" w:hAnsi="Calibri" w:cs="Calibri"/>
                <w:color w:val="000000"/>
                <w:sz w:val="22"/>
                <w:lang w:eastAsia="cs-CZ"/>
              </w:rPr>
              <w:t>6,9</w:t>
            </w:r>
            <w:r w:rsidR="00860B90">
              <w:rPr>
                <w:rFonts w:ascii="Calibri" w:eastAsia="Times New Roman" w:hAnsi="Calibri" w:cs="Calibri"/>
                <w:color w:val="000000"/>
                <w:sz w:val="22"/>
                <w:lang w:eastAsia="cs-CZ"/>
              </w:rPr>
              <w:t xml:space="preserve"> %</w:t>
            </w:r>
          </w:p>
        </w:tc>
        <w:tc>
          <w:tcPr>
            <w:tcW w:w="992" w:type="dxa"/>
            <w:tcBorders>
              <w:top w:val="nil"/>
              <w:left w:val="nil"/>
              <w:bottom w:val="single" w:sz="12" w:space="0" w:color="4F81BD"/>
              <w:right w:val="nil"/>
            </w:tcBorders>
            <w:shd w:val="clear" w:color="000000" w:fill="EEF3F8"/>
            <w:noWrap/>
            <w:vAlign w:val="center"/>
            <w:hideMark/>
          </w:tcPr>
          <w:p w14:paraId="4C9ECA41" w14:textId="65A37000" w:rsidR="008B64B1" w:rsidRPr="005A6578" w:rsidRDefault="008B64B1" w:rsidP="005A6578">
            <w:pPr>
              <w:spacing w:after="0" w:line="240" w:lineRule="auto"/>
              <w:jc w:val="right"/>
              <w:rPr>
                <w:rFonts w:ascii="Calibri" w:eastAsia="Times New Roman" w:hAnsi="Calibri" w:cs="Calibri"/>
                <w:color w:val="000000"/>
                <w:sz w:val="22"/>
                <w:lang w:eastAsia="cs-CZ"/>
              </w:rPr>
            </w:pPr>
            <w:r w:rsidRPr="005A6578">
              <w:rPr>
                <w:rFonts w:ascii="Calibri" w:eastAsia="Times New Roman" w:hAnsi="Calibri" w:cs="Calibri"/>
                <w:color w:val="000000"/>
                <w:sz w:val="22"/>
                <w:lang w:eastAsia="cs-CZ"/>
              </w:rPr>
              <w:t>8,4</w:t>
            </w:r>
            <w:r w:rsidR="00860B90">
              <w:rPr>
                <w:rFonts w:ascii="Calibri" w:eastAsia="Times New Roman" w:hAnsi="Calibri" w:cs="Calibri"/>
                <w:color w:val="000000"/>
                <w:sz w:val="22"/>
                <w:lang w:eastAsia="cs-CZ"/>
              </w:rPr>
              <w:t xml:space="preserve"> %</w:t>
            </w:r>
          </w:p>
        </w:tc>
        <w:tc>
          <w:tcPr>
            <w:tcW w:w="851" w:type="dxa"/>
            <w:tcBorders>
              <w:top w:val="nil"/>
              <w:left w:val="nil"/>
              <w:bottom w:val="single" w:sz="12" w:space="0" w:color="4F81BD"/>
              <w:right w:val="single" w:sz="12" w:space="0" w:color="4F81BD"/>
            </w:tcBorders>
            <w:shd w:val="clear" w:color="000000" w:fill="EEF3F8"/>
            <w:noWrap/>
            <w:vAlign w:val="center"/>
            <w:hideMark/>
          </w:tcPr>
          <w:p w14:paraId="02C20944" w14:textId="62D68633" w:rsidR="008B64B1" w:rsidRPr="005A6578" w:rsidRDefault="008B64B1" w:rsidP="005A6578">
            <w:pPr>
              <w:spacing w:after="0" w:line="240" w:lineRule="auto"/>
              <w:jc w:val="right"/>
              <w:rPr>
                <w:rFonts w:ascii="Calibri" w:eastAsia="Times New Roman" w:hAnsi="Calibri" w:cs="Calibri"/>
                <w:color w:val="000000"/>
                <w:sz w:val="22"/>
                <w:lang w:eastAsia="cs-CZ"/>
              </w:rPr>
            </w:pPr>
            <w:r w:rsidRPr="005A6578">
              <w:rPr>
                <w:rFonts w:ascii="Calibri" w:eastAsia="Times New Roman" w:hAnsi="Calibri" w:cs="Calibri"/>
                <w:color w:val="000000"/>
                <w:sz w:val="22"/>
                <w:lang w:eastAsia="cs-CZ"/>
              </w:rPr>
              <w:t>9,8</w:t>
            </w:r>
            <w:r w:rsidR="00860B90">
              <w:rPr>
                <w:rFonts w:ascii="Calibri" w:eastAsia="Times New Roman" w:hAnsi="Calibri" w:cs="Calibri"/>
                <w:color w:val="000000"/>
                <w:sz w:val="22"/>
                <w:lang w:eastAsia="cs-CZ"/>
              </w:rPr>
              <w:t xml:space="preserve"> %</w:t>
            </w:r>
          </w:p>
        </w:tc>
      </w:tr>
    </w:tbl>
    <w:p w14:paraId="3F533358" w14:textId="0DC68752" w:rsidR="003645E8" w:rsidRPr="003645E8" w:rsidRDefault="003645E8" w:rsidP="003645E8">
      <w:pPr>
        <w:rPr>
          <w:lang w:bidi="hi-IN"/>
        </w:rPr>
      </w:pPr>
      <w:r>
        <w:rPr>
          <w:lang w:bidi="hi-IN"/>
        </w:rPr>
        <w:fldChar w:fldCharType="end"/>
      </w:r>
    </w:p>
    <w:p w14:paraId="51958AAA" w14:textId="3BC82D64" w:rsidR="006D3803" w:rsidRPr="00F83E46" w:rsidRDefault="006D3803" w:rsidP="006D3803">
      <w:pPr>
        <w:spacing w:before="180" w:line="276" w:lineRule="auto"/>
        <w:jc w:val="both"/>
        <w:rPr>
          <w:i/>
          <w:iCs/>
        </w:rPr>
      </w:pPr>
      <w:r w:rsidRPr="00F83E46">
        <w:t>Zastoupení jednotlivých zdravotních pojišťoven na zůstatcích systému v.</w:t>
      </w:r>
      <w:r w:rsidR="001479D2" w:rsidRPr="00F83E46">
        <w:t xml:space="preserve"> </w:t>
      </w:r>
      <w:r w:rsidRPr="00F83E46">
        <w:t>z.</w:t>
      </w:r>
      <w:r w:rsidR="001479D2" w:rsidRPr="00F83E46">
        <w:t xml:space="preserve"> </w:t>
      </w:r>
      <w:r w:rsidRPr="00F83E46">
        <w:t xml:space="preserve">p. </w:t>
      </w:r>
      <w:r w:rsidR="001479D2" w:rsidRPr="00F83E46">
        <w:t xml:space="preserve">se </w:t>
      </w:r>
      <w:r w:rsidRPr="00F83E46">
        <w:t>meziročně změnilo</w:t>
      </w:r>
      <w:r w:rsidR="00CC616C" w:rsidRPr="00F83E46">
        <w:t xml:space="preserve"> ve prospěch VZP ČR</w:t>
      </w:r>
      <w:r w:rsidRPr="00F83E46">
        <w:t xml:space="preserve">, </w:t>
      </w:r>
      <w:r w:rsidR="00CC616C" w:rsidRPr="00F83E46">
        <w:t xml:space="preserve">jejíž podíl </w:t>
      </w:r>
      <w:r w:rsidRPr="00F83E46">
        <w:t xml:space="preserve">se </w:t>
      </w:r>
      <w:r w:rsidR="00C6511E" w:rsidRPr="00F83E46">
        <w:t xml:space="preserve">zvýšil </w:t>
      </w:r>
      <w:r w:rsidR="005F6DC1">
        <w:t>na 70</w:t>
      </w:r>
      <w:r w:rsidR="00F83E46" w:rsidRPr="00F83E46">
        <w:t xml:space="preserve"> % na konci roku</w:t>
      </w:r>
      <w:r w:rsidRPr="00F83E46">
        <w:t xml:space="preserve"> </w:t>
      </w:r>
      <w:r w:rsidR="00550C06" w:rsidRPr="00F83E46">
        <w:t>202</w:t>
      </w:r>
      <w:r w:rsidR="00F83E46" w:rsidRPr="00F83E46">
        <w:t>3</w:t>
      </w:r>
      <w:r w:rsidR="00550C06" w:rsidRPr="00F83E46">
        <w:t xml:space="preserve"> </w:t>
      </w:r>
      <w:r w:rsidRPr="00F83E46">
        <w:t>(</w:t>
      </w:r>
      <w:r w:rsidR="00F83E46" w:rsidRPr="00F83E46">
        <w:rPr>
          <w:i/>
          <w:iCs/>
        </w:rPr>
        <w:t>Graf č. 8</w:t>
      </w:r>
      <w:r w:rsidRPr="00F83E46">
        <w:rPr>
          <w:i/>
          <w:iCs/>
        </w:rPr>
        <w:t>).</w:t>
      </w:r>
    </w:p>
    <w:p w14:paraId="6F450D4C" w14:textId="1E48AD19" w:rsidR="006D3803" w:rsidRPr="00F83E46" w:rsidRDefault="006D3803" w:rsidP="006D3803">
      <w:pPr>
        <w:spacing w:before="180" w:line="276" w:lineRule="auto"/>
        <w:jc w:val="both"/>
      </w:pPr>
      <w:r w:rsidRPr="00F83E46">
        <w:t xml:space="preserve">V tabulkové příloze </w:t>
      </w:r>
      <w:r w:rsidRPr="00F83E46">
        <w:rPr>
          <w:i/>
          <w:iCs/>
        </w:rPr>
        <w:t>Tabulka č. 1b</w:t>
      </w:r>
      <w:r w:rsidRPr="00F83E46">
        <w:t xml:space="preserve">, jsou uvedeny finanční zůstatky na BÚ ZFZP k 31. 12. </w:t>
      </w:r>
      <w:r w:rsidR="00F83E46" w:rsidRPr="00F83E46">
        <w:t>2023</w:t>
      </w:r>
      <w:r w:rsidRPr="00F83E46">
        <w:t xml:space="preserve">. Dále pak jsou v tabulkové příloze </w:t>
      </w:r>
      <w:r w:rsidRPr="00F83E46">
        <w:rPr>
          <w:i/>
          <w:iCs/>
        </w:rPr>
        <w:t xml:space="preserve">Tabulka č. 1d </w:t>
      </w:r>
      <w:r w:rsidRPr="00F83E46">
        <w:t>uvedeny finanční zůstatky na BÚ RF (rezervní fond), kde lze vidět, že všechny zdravotní pojišťovny měly rezervní fond naplněn na zákonem požadovanou výši</w:t>
      </w:r>
      <w:r w:rsidR="00CC616C" w:rsidRPr="00F83E46">
        <w:t>.</w:t>
      </w:r>
    </w:p>
    <w:p w14:paraId="4E4392B2" w14:textId="6AAA1B07" w:rsidR="006D3803" w:rsidRDefault="006D3803" w:rsidP="006D3803">
      <w:pPr>
        <w:pStyle w:val="Titulek"/>
      </w:pPr>
      <w:bookmarkStart w:id="32" w:name="_Toc106884103"/>
      <w:r w:rsidRPr="005F6DC1">
        <w:t xml:space="preserve">Graf č. </w:t>
      </w:r>
      <w:r w:rsidR="00F83E46" w:rsidRPr="005F6DC1">
        <w:rPr>
          <w:noProof/>
        </w:rPr>
        <w:t>8</w:t>
      </w:r>
      <w:r w:rsidRPr="005F6DC1">
        <w:t xml:space="preserve">: Rozložení peněžních prostředků na BÚ mezi jednotlivými ZP k 31. 12. </w:t>
      </w:r>
      <w:r w:rsidR="00550C06" w:rsidRPr="005F6DC1">
        <w:t>202</w:t>
      </w:r>
      <w:bookmarkEnd w:id="32"/>
      <w:r w:rsidR="005F6DC1" w:rsidRPr="005F6DC1">
        <w:t>3</w:t>
      </w:r>
    </w:p>
    <w:p w14:paraId="1ADBCD49" w14:textId="1AC35BB3" w:rsidR="005F6DC1" w:rsidRPr="005F6DC1" w:rsidRDefault="005F6DC1" w:rsidP="005F6DC1">
      <w:pPr>
        <w:rPr>
          <w:lang w:bidi="hi-IN"/>
        </w:rPr>
      </w:pPr>
      <w:r>
        <w:rPr>
          <w:noProof/>
          <w:lang w:eastAsia="cs-CZ"/>
        </w:rPr>
        <w:drawing>
          <wp:inline distT="0" distB="0" distL="0" distR="0" wp14:anchorId="53A197E6" wp14:editId="7E23C906">
            <wp:extent cx="5772150" cy="2962275"/>
            <wp:effectExtent l="0" t="0" r="0" b="9525"/>
            <wp:docPr id="9" name="Graf 9">
              <a:extLst xmlns:a="http://schemas.openxmlformats.org/drawingml/2006/main">
                <a:ext uri="{FF2B5EF4-FFF2-40B4-BE49-F238E27FC236}">
                  <a16:creationId xmlns:a16="http://schemas.microsoft.com/office/drawing/2014/main" id="{00000000-0008-0000-1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6E5C640" w14:textId="4A939824" w:rsidR="00550C06" w:rsidRPr="00A36740" w:rsidRDefault="00550C06" w:rsidP="000458EB">
      <w:pPr>
        <w:spacing w:before="180" w:line="276" w:lineRule="auto"/>
        <w:jc w:val="center"/>
        <w:rPr>
          <w:i/>
          <w:iCs/>
          <w:highlight w:val="yellow"/>
        </w:rPr>
      </w:pPr>
    </w:p>
    <w:p w14:paraId="1BB8A535" w14:textId="5ACBFA55" w:rsidR="006D3803" w:rsidRPr="00092294" w:rsidRDefault="00092294" w:rsidP="006D3803">
      <w:pPr>
        <w:spacing w:before="180" w:line="276" w:lineRule="auto"/>
        <w:jc w:val="both"/>
      </w:pPr>
      <w:r w:rsidRPr="00092294">
        <w:rPr>
          <w:i/>
          <w:iCs/>
        </w:rPr>
        <w:t>Graf č. 9</w:t>
      </w:r>
      <w:r w:rsidR="006D3803" w:rsidRPr="00092294">
        <w:t xml:space="preserve"> sleduje v delším časovém horizontu vývoj podílu souhrnných zůstatků na fondech zdravotních pojišťoven k celkovým výdajům systému v. z. p. Z vývoje od roku 2016 do 2019 je patrný</w:t>
      </w:r>
      <w:r w:rsidRPr="00092294">
        <w:t xml:space="preserve"> výrazný</w:t>
      </w:r>
      <w:r w:rsidR="006D3803" w:rsidRPr="00092294">
        <w:t xml:space="preserve"> růst</w:t>
      </w:r>
      <w:r w:rsidRPr="00092294">
        <w:t>. Další vývoj je nejednoznačný, přičemž v loňském roce došlo k poklesu na 11,8 %.</w:t>
      </w:r>
    </w:p>
    <w:p w14:paraId="15A6AC83" w14:textId="0205AE17" w:rsidR="006D3803" w:rsidRDefault="006D3803" w:rsidP="006D3803">
      <w:pPr>
        <w:pStyle w:val="Titulek"/>
      </w:pPr>
      <w:bookmarkStart w:id="33" w:name="_Toc106884104"/>
      <w:r w:rsidRPr="00092294">
        <w:t xml:space="preserve">Graf č. </w:t>
      </w:r>
      <w:r w:rsidR="00092294">
        <w:rPr>
          <w:noProof/>
        </w:rPr>
        <w:t>9</w:t>
      </w:r>
      <w:r w:rsidRPr="00092294">
        <w:t>: Vývoj zůstatků ZP a růstu HDP</w:t>
      </w:r>
      <w:bookmarkEnd w:id="33"/>
    </w:p>
    <w:p w14:paraId="2EF462BA" w14:textId="2F3267B9" w:rsidR="00092294" w:rsidRPr="00092294" w:rsidRDefault="00092294" w:rsidP="00092294">
      <w:pPr>
        <w:rPr>
          <w:lang w:bidi="hi-IN"/>
        </w:rPr>
      </w:pPr>
      <w:r>
        <w:rPr>
          <w:noProof/>
          <w:lang w:eastAsia="cs-CZ"/>
        </w:rPr>
        <w:drawing>
          <wp:inline distT="0" distB="0" distL="0" distR="0" wp14:anchorId="3BC1DF53" wp14:editId="23E24920">
            <wp:extent cx="5476875" cy="3033395"/>
            <wp:effectExtent l="0" t="0" r="0" b="0"/>
            <wp:docPr id="10" name="Graf 10">
              <a:extLst xmlns:a="http://schemas.openxmlformats.org/drawingml/2006/main">
                <a:ext uri="{FF2B5EF4-FFF2-40B4-BE49-F238E27FC236}">
                  <a16:creationId xmlns:a16="http://schemas.microsoft.com/office/drawing/2014/main" id="{00000000-0008-0000-11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51F592A" w14:textId="39693BCE" w:rsidR="00A04EF1" w:rsidRPr="00A36740" w:rsidRDefault="00A04EF1" w:rsidP="0061073B">
      <w:pPr>
        <w:jc w:val="center"/>
        <w:rPr>
          <w:highlight w:val="yellow"/>
          <w:lang w:bidi="hi-IN"/>
        </w:rPr>
      </w:pPr>
    </w:p>
    <w:p w14:paraId="7D79042E" w14:textId="4F72898A" w:rsidR="006D3803" w:rsidRPr="00A36740" w:rsidRDefault="006D3803" w:rsidP="006D3803">
      <w:pPr>
        <w:spacing w:before="180" w:line="276" w:lineRule="auto"/>
        <w:jc w:val="both"/>
        <w:rPr>
          <w:highlight w:val="yellow"/>
        </w:rPr>
      </w:pPr>
      <w:r w:rsidRPr="00A36740">
        <w:rPr>
          <w:highlight w:val="yellow"/>
        </w:rPr>
        <w:br w:type="page"/>
      </w:r>
    </w:p>
    <w:p w14:paraId="27A6489A" w14:textId="7726DF83" w:rsidR="00E450DF" w:rsidRPr="000E0CDA" w:rsidRDefault="00E450DF" w:rsidP="007327D1">
      <w:pPr>
        <w:pStyle w:val="Nadpis2"/>
      </w:pPr>
      <w:bookmarkStart w:id="34" w:name="_Toc169176577"/>
      <w:bookmarkEnd w:id="28"/>
      <w:r w:rsidRPr="000E0CDA">
        <w:t>Pojištěnci systému v. z. p.</w:t>
      </w:r>
      <w:bookmarkEnd w:id="34"/>
      <w:r w:rsidRPr="000E0CDA">
        <w:t xml:space="preserve"> </w:t>
      </w:r>
    </w:p>
    <w:p w14:paraId="798F8171" w14:textId="6CBF4571" w:rsidR="006D3803" w:rsidRPr="000E0CDA" w:rsidRDefault="000E0CDA" w:rsidP="006D3803">
      <w:pPr>
        <w:spacing w:before="180" w:line="276" w:lineRule="auto"/>
        <w:jc w:val="both"/>
      </w:pPr>
      <w:r w:rsidRPr="000E0CDA">
        <w:t>V roce 2023</w:t>
      </w:r>
      <w:r w:rsidR="00CF637E" w:rsidRPr="000E0CDA">
        <w:t xml:space="preserve"> </w:t>
      </w:r>
      <w:r w:rsidR="006D3803" w:rsidRPr="000E0CDA">
        <w:t>bylo</w:t>
      </w:r>
      <w:r w:rsidRPr="000E0CDA">
        <w:t xml:space="preserve"> v průměru</w:t>
      </w:r>
      <w:r w:rsidR="006D3803" w:rsidRPr="000E0CDA">
        <w:t xml:space="preserve"> evidováno </w:t>
      </w:r>
      <w:r w:rsidRPr="000E0CDA">
        <w:rPr>
          <w:b/>
          <w:bCs/>
        </w:rPr>
        <w:t>10,87</w:t>
      </w:r>
      <w:r w:rsidR="002A40F5" w:rsidRPr="000E0CDA">
        <w:rPr>
          <w:b/>
          <w:bCs/>
        </w:rPr>
        <w:t xml:space="preserve"> </w:t>
      </w:r>
      <w:r w:rsidR="006D3803" w:rsidRPr="000E0CDA">
        <w:rPr>
          <w:b/>
          <w:bCs/>
        </w:rPr>
        <w:t>mil. pojištěnců</w:t>
      </w:r>
      <w:r w:rsidR="006D3803" w:rsidRPr="000E0CDA">
        <w:t xml:space="preserve">, z toho VZP ČR registrovala </w:t>
      </w:r>
      <w:r w:rsidRPr="000E0CDA">
        <w:t>6,16</w:t>
      </w:r>
      <w:r w:rsidR="00CF637E" w:rsidRPr="000E0CDA">
        <w:t xml:space="preserve"> </w:t>
      </w:r>
      <w:r w:rsidR="006D3803" w:rsidRPr="000E0CDA">
        <w:t>mil. pojištěnců, tj. </w:t>
      </w:r>
      <w:r w:rsidRPr="000E0CDA">
        <w:t>56,7</w:t>
      </w:r>
      <w:r w:rsidR="002A40F5" w:rsidRPr="000E0CDA">
        <w:t xml:space="preserve"> </w:t>
      </w:r>
      <w:r w:rsidR="006D3803" w:rsidRPr="000E0CDA">
        <w:t>% pojištěnců systému v. z. p.</w:t>
      </w:r>
      <w:r w:rsidRPr="000E0CDA">
        <w:t xml:space="preserve"> </w:t>
      </w:r>
      <w:r w:rsidR="006D3803" w:rsidRPr="000E0CDA">
        <w:t>Podrobnější údaje založené na průměrném ročním počt</w:t>
      </w:r>
      <w:r w:rsidRPr="000E0CDA">
        <w:t xml:space="preserve">u obsahuje </w:t>
      </w:r>
      <w:r w:rsidRPr="000E0CDA">
        <w:rPr>
          <w:i/>
          <w:iCs/>
        </w:rPr>
        <w:t>Tabulka </w:t>
      </w:r>
      <w:r w:rsidR="006D3803" w:rsidRPr="000E0CDA">
        <w:rPr>
          <w:i/>
          <w:iCs/>
        </w:rPr>
        <w:t>č.</w:t>
      </w:r>
      <w:r w:rsidR="00E31296">
        <w:rPr>
          <w:i/>
          <w:iCs/>
        </w:rPr>
        <w:t> </w:t>
      </w:r>
      <w:r w:rsidR="006D3803" w:rsidRPr="000E0CDA">
        <w:rPr>
          <w:i/>
          <w:iCs/>
        </w:rPr>
        <w:t>7</w:t>
      </w:r>
      <w:r w:rsidR="006D3803" w:rsidRPr="000E0CDA">
        <w:t>.</w:t>
      </w:r>
    </w:p>
    <w:p w14:paraId="1165C477" w14:textId="766113E2" w:rsidR="006D3803" w:rsidRPr="00F31440" w:rsidRDefault="006D3803" w:rsidP="006D3803">
      <w:pPr>
        <w:spacing w:before="180" w:line="276" w:lineRule="auto"/>
        <w:jc w:val="both"/>
      </w:pPr>
      <w:r w:rsidRPr="00F31440">
        <w:t xml:space="preserve">Nejvýznamnější skupinou mezi pojištěnci systému byli tzv. státní pojištěnci, jejichž celkový průměrný počet dosáhl </w:t>
      </w:r>
      <w:r w:rsidR="000E0CDA" w:rsidRPr="00F31440">
        <w:t>6,08 mil. osob (tj. 56</w:t>
      </w:r>
      <w:r w:rsidR="00AF6662" w:rsidRPr="00F31440">
        <w:t xml:space="preserve"> </w:t>
      </w:r>
      <w:r w:rsidR="00F31440" w:rsidRPr="00F31440">
        <w:t xml:space="preserve">% všech). </w:t>
      </w:r>
      <w:r w:rsidRPr="00F31440">
        <w:t>Zastoupení této skupiny je ve zdravotní</w:t>
      </w:r>
      <w:r w:rsidR="00835AA9">
        <w:t xml:space="preserve">ch pojišťovnách </w:t>
      </w:r>
      <w:r w:rsidR="00F31440" w:rsidRPr="00F31440">
        <w:t>podobné</w:t>
      </w:r>
      <w:r w:rsidR="006A5409" w:rsidRPr="00F31440">
        <w:t xml:space="preserve">, tj. mezi </w:t>
      </w:r>
      <w:r w:rsidR="00F31440" w:rsidRPr="00F31440">
        <w:t>53,7</w:t>
      </w:r>
      <w:r w:rsidR="008D7D1F" w:rsidRPr="00F31440">
        <w:t xml:space="preserve"> </w:t>
      </w:r>
      <w:r w:rsidR="006A5409" w:rsidRPr="00F31440">
        <w:t>% a</w:t>
      </w:r>
      <w:r w:rsidR="00E31296">
        <w:t> </w:t>
      </w:r>
      <w:r w:rsidR="00F31440" w:rsidRPr="00F31440">
        <w:t>58,7</w:t>
      </w:r>
      <w:r w:rsidR="008D7D1F" w:rsidRPr="00F31440">
        <w:t xml:space="preserve"> </w:t>
      </w:r>
      <w:r w:rsidR="006A5409" w:rsidRPr="00F31440">
        <w:t>%</w:t>
      </w:r>
      <w:r w:rsidRPr="00F31440">
        <w:t xml:space="preserve">. </w:t>
      </w:r>
    </w:p>
    <w:p w14:paraId="13610CFF" w14:textId="1219BD32" w:rsidR="00F31440" w:rsidRDefault="006D3803" w:rsidP="00F31440">
      <w:pPr>
        <w:rPr>
          <w:lang w:bidi="hi-IN"/>
        </w:rPr>
      </w:pPr>
      <w:bookmarkStart w:id="35" w:name="_Toc168993232"/>
      <w:r w:rsidRPr="00F31440">
        <w:t xml:space="preserve">Tabulka č. </w:t>
      </w:r>
      <w:r w:rsidRPr="00F31440">
        <w:rPr>
          <w:noProof/>
        </w:rPr>
        <w:fldChar w:fldCharType="begin"/>
      </w:r>
      <w:r w:rsidRPr="00F31440">
        <w:rPr>
          <w:noProof/>
        </w:rPr>
        <w:instrText xml:space="preserve"> SEQ Tabulka \* ARABIC </w:instrText>
      </w:r>
      <w:r w:rsidRPr="00F31440">
        <w:rPr>
          <w:noProof/>
        </w:rPr>
        <w:fldChar w:fldCharType="separate"/>
      </w:r>
      <w:r w:rsidR="00904274">
        <w:rPr>
          <w:noProof/>
        </w:rPr>
        <w:t>7</w:t>
      </w:r>
      <w:r w:rsidRPr="00F31440">
        <w:rPr>
          <w:noProof/>
        </w:rPr>
        <w:fldChar w:fldCharType="end"/>
      </w:r>
      <w:r w:rsidRPr="00F31440">
        <w:t xml:space="preserve">: Pojištěnci a zaměstnanci systému v. z. p. </w:t>
      </w:r>
      <w:r w:rsidR="006A5409" w:rsidRPr="00F31440">
        <w:t>202</w:t>
      </w:r>
      <w:r w:rsidR="00F31440" w:rsidRPr="00F31440">
        <w:t>3</w:t>
      </w:r>
      <w:r w:rsidR="006A5409" w:rsidRPr="00F31440">
        <w:t xml:space="preserve"> </w:t>
      </w:r>
      <w:r w:rsidRPr="00F31440">
        <w:t>dle zdravotních pojišťoven</w:t>
      </w:r>
      <w:r w:rsidRPr="00F31440">
        <w:rPr>
          <w:rStyle w:val="Znakapoznpodarou"/>
        </w:rPr>
        <w:footnoteReference w:id="7"/>
      </w:r>
      <w:bookmarkEnd w:id="35"/>
    </w:p>
    <w:tbl>
      <w:tblPr>
        <w:tblW w:w="9624" w:type="dxa"/>
        <w:tblCellMar>
          <w:left w:w="70" w:type="dxa"/>
          <w:right w:w="70" w:type="dxa"/>
        </w:tblCellMar>
        <w:tblLook w:val="04A0" w:firstRow="1" w:lastRow="0" w:firstColumn="1" w:lastColumn="0" w:noHBand="0" w:noVBand="1"/>
      </w:tblPr>
      <w:tblGrid>
        <w:gridCol w:w="2962"/>
        <w:gridCol w:w="992"/>
        <w:gridCol w:w="993"/>
        <w:gridCol w:w="992"/>
        <w:gridCol w:w="992"/>
        <w:gridCol w:w="851"/>
        <w:gridCol w:w="992"/>
        <w:gridCol w:w="850"/>
      </w:tblGrid>
      <w:tr w:rsidR="008C4D8D" w:rsidRPr="00C40431" w14:paraId="0CF8F71F" w14:textId="77777777" w:rsidTr="008C4D8D">
        <w:trPr>
          <w:trHeight w:val="300"/>
        </w:trPr>
        <w:tc>
          <w:tcPr>
            <w:tcW w:w="2962" w:type="dxa"/>
            <w:tcBorders>
              <w:top w:val="single" w:sz="12" w:space="0" w:color="4F81BD"/>
              <w:left w:val="single" w:sz="12" w:space="0" w:color="4F81BD"/>
              <w:bottom w:val="nil"/>
              <w:right w:val="nil"/>
            </w:tcBorders>
            <w:shd w:val="clear" w:color="000000" w:fill="4F81BD"/>
            <w:vAlign w:val="center"/>
            <w:hideMark/>
          </w:tcPr>
          <w:p w14:paraId="2CFCA4DE" w14:textId="77777777" w:rsidR="00F31582" w:rsidRPr="00C40431" w:rsidRDefault="00F31582" w:rsidP="005E562F">
            <w:pPr>
              <w:spacing w:after="0" w:line="240" w:lineRule="auto"/>
              <w:rPr>
                <w:rFonts w:ascii="Calibri" w:eastAsia="Times New Roman" w:hAnsi="Calibri" w:cs="Calibri"/>
                <w:sz w:val="22"/>
                <w:lang w:eastAsia="cs-CZ"/>
              </w:rPr>
            </w:pPr>
            <w:r w:rsidRPr="00C40431">
              <w:rPr>
                <w:rFonts w:ascii="Calibri" w:eastAsia="Times New Roman" w:hAnsi="Calibri" w:cs="Calibri"/>
                <w:sz w:val="22"/>
                <w:lang w:eastAsia="cs-CZ"/>
              </w:rPr>
              <w:t> </w:t>
            </w:r>
          </w:p>
        </w:tc>
        <w:tc>
          <w:tcPr>
            <w:tcW w:w="992" w:type="dxa"/>
            <w:vMerge w:val="restart"/>
            <w:tcBorders>
              <w:top w:val="single" w:sz="12" w:space="0" w:color="4F81BD"/>
              <w:left w:val="nil"/>
              <w:bottom w:val="nil"/>
              <w:right w:val="nil"/>
            </w:tcBorders>
            <w:shd w:val="clear" w:color="000000" w:fill="6691C6"/>
            <w:noWrap/>
            <w:vAlign w:val="center"/>
            <w:hideMark/>
          </w:tcPr>
          <w:p w14:paraId="734DA659" w14:textId="77777777" w:rsidR="00F31582" w:rsidRPr="00C40431" w:rsidRDefault="00F31582" w:rsidP="005E562F">
            <w:pPr>
              <w:spacing w:after="0" w:line="240" w:lineRule="auto"/>
              <w:jc w:val="center"/>
              <w:rPr>
                <w:rFonts w:ascii="Calibri" w:eastAsia="Times New Roman" w:hAnsi="Calibri" w:cs="Calibri"/>
                <w:b/>
                <w:bCs/>
                <w:color w:val="FFFFFF"/>
                <w:szCs w:val="21"/>
                <w:lang w:eastAsia="cs-CZ"/>
              </w:rPr>
            </w:pPr>
            <w:r w:rsidRPr="00C40431">
              <w:rPr>
                <w:rFonts w:ascii="Calibri" w:eastAsia="Times New Roman" w:hAnsi="Calibri" w:cs="Calibri"/>
                <w:b/>
                <w:bCs/>
                <w:color w:val="FFFFFF"/>
                <w:szCs w:val="21"/>
                <w:lang w:eastAsia="cs-CZ"/>
              </w:rPr>
              <w:t>VZP ČR</w:t>
            </w:r>
          </w:p>
        </w:tc>
        <w:tc>
          <w:tcPr>
            <w:tcW w:w="993" w:type="dxa"/>
            <w:vMerge w:val="restart"/>
            <w:tcBorders>
              <w:top w:val="single" w:sz="12" w:space="0" w:color="4F81BD"/>
              <w:left w:val="nil"/>
              <w:bottom w:val="nil"/>
              <w:right w:val="nil"/>
            </w:tcBorders>
            <w:shd w:val="clear" w:color="000000" w:fill="4F81BD"/>
            <w:noWrap/>
            <w:vAlign w:val="center"/>
            <w:hideMark/>
          </w:tcPr>
          <w:p w14:paraId="04F38C09" w14:textId="77777777" w:rsidR="00F31582" w:rsidRPr="00C40431" w:rsidRDefault="00F31582" w:rsidP="005E562F">
            <w:pPr>
              <w:spacing w:after="0" w:line="240" w:lineRule="auto"/>
              <w:jc w:val="center"/>
              <w:rPr>
                <w:rFonts w:ascii="Calibri" w:eastAsia="Times New Roman" w:hAnsi="Calibri" w:cs="Calibri"/>
                <w:b/>
                <w:bCs/>
                <w:color w:val="FFFFFF"/>
                <w:szCs w:val="21"/>
                <w:lang w:eastAsia="cs-CZ"/>
              </w:rPr>
            </w:pPr>
            <w:r w:rsidRPr="00C40431">
              <w:rPr>
                <w:rFonts w:ascii="Calibri" w:eastAsia="Times New Roman" w:hAnsi="Calibri" w:cs="Calibri"/>
                <w:b/>
                <w:bCs/>
                <w:color w:val="FFFFFF"/>
                <w:szCs w:val="21"/>
                <w:lang w:eastAsia="cs-CZ"/>
              </w:rPr>
              <w:t>VoZP ČR</w:t>
            </w:r>
          </w:p>
        </w:tc>
        <w:tc>
          <w:tcPr>
            <w:tcW w:w="992" w:type="dxa"/>
            <w:vMerge w:val="restart"/>
            <w:tcBorders>
              <w:top w:val="single" w:sz="12" w:space="0" w:color="4F81BD"/>
              <w:left w:val="nil"/>
              <w:bottom w:val="nil"/>
              <w:right w:val="nil"/>
            </w:tcBorders>
            <w:shd w:val="clear" w:color="000000" w:fill="6691C6"/>
            <w:noWrap/>
            <w:vAlign w:val="center"/>
            <w:hideMark/>
          </w:tcPr>
          <w:p w14:paraId="0E4FF7BC" w14:textId="77777777" w:rsidR="00F31582" w:rsidRPr="00C40431" w:rsidRDefault="00F31582" w:rsidP="005E562F">
            <w:pPr>
              <w:spacing w:after="0" w:line="240" w:lineRule="auto"/>
              <w:jc w:val="center"/>
              <w:rPr>
                <w:rFonts w:ascii="Calibri" w:eastAsia="Times New Roman" w:hAnsi="Calibri" w:cs="Calibri"/>
                <w:b/>
                <w:bCs/>
                <w:color w:val="FFFFFF"/>
                <w:szCs w:val="21"/>
                <w:lang w:eastAsia="cs-CZ"/>
              </w:rPr>
            </w:pPr>
            <w:r w:rsidRPr="00C40431">
              <w:rPr>
                <w:rFonts w:ascii="Calibri" w:eastAsia="Times New Roman" w:hAnsi="Calibri" w:cs="Calibri"/>
                <w:b/>
                <w:bCs/>
                <w:color w:val="FFFFFF"/>
                <w:szCs w:val="21"/>
                <w:lang w:eastAsia="cs-CZ"/>
              </w:rPr>
              <w:t>ČPZP</w:t>
            </w:r>
          </w:p>
        </w:tc>
        <w:tc>
          <w:tcPr>
            <w:tcW w:w="992" w:type="dxa"/>
            <w:vMerge w:val="restart"/>
            <w:tcBorders>
              <w:top w:val="single" w:sz="12" w:space="0" w:color="4F81BD"/>
              <w:left w:val="nil"/>
              <w:bottom w:val="nil"/>
              <w:right w:val="nil"/>
            </w:tcBorders>
            <w:shd w:val="clear" w:color="000000" w:fill="4F81BD"/>
            <w:vAlign w:val="center"/>
            <w:hideMark/>
          </w:tcPr>
          <w:p w14:paraId="2CDF9F32" w14:textId="77777777" w:rsidR="00F31582" w:rsidRPr="00C40431" w:rsidRDefault="00F31582" w:rsidP="005E562F">
            <w:pPr>
              <w:spacing w:after="0" w:line="240" w:lineRule="auto"/>
              <w:jc w:val="center"/>
              <w:rPr>
                <w:rFonts w:ascii="Calibri" w:eastAsia="Times New Roman" w:hAnsi="Calibri" w:cs="Calibri"/>
                <w:b/>
                <w:bCs/>
                <w:color w:val="FFFFFF"/>
                <w:szCs w:val="21"/>
                <w:lang w:eastAsia="cs-CZ"/>
              </w:rPr>
            </w:pPr>
            <w:r w:rsidRPr="00C40431">
              <w:rPr>
                <w:rFonts w:ascii="Calibri" w:eastAsia="Times New Roman" w:hAnsi="Calibri" w:cs="Calibri"/>
                <w:b/>
                <w:bCs/>
                <w:color w:val="FFFFFF"/>
                <w:szCs w:val="21"/>
                <w:lang w:eastAsia="cs-CZ"/>
              </w:rPr>
              <w:t>OZP</w:t>
            </w:r>
          </w:p>
        </w:tc>
        <w:tc>
          <w:tcPr>
            <w:tcW w:w="851" w:type="dxa"/>
            <w:vMerge w:val="restart"/>
            <w:tcBorders>
              <w:top w:val="single" w:sz="12" w:space="0" w:color="4F81BD"/>
              <w:left w:val="nil"/>
              <w:bottom w:val="nil"/>
              <w:right w:val="nil"/>
            </w:tcBorders>
            <w:shd w:val="clear" w:color="000000" w:fill="6691C6"/>
            <w:vAlign w:val="center"/>
            <w:hideMark/>
          </w:tcPr>
          <w:p w14:paraId="19EB07F9" w14:textId="77777777" w:rsidR="00F31582" w:rsidRPr="00C40431" w:rsidRDefault="00F31582" w:rsidP="005E562F">
            <w:pPr>
              <w:spacing w:after="0" w:line="240" w:lineRule="auto"/>
              <w:jc w:val="center"/>
              <w:rPr>
                <w:rFonts w:ascii="Calibri" w:eastAsia="Times New Roman" w:hAnsi="Calibri" w:cs="Calibri"/>
                <w:b/>
                <w:bCs/>
                <w:color w:val="FFFFFF"/>
                <w:szCs w:val="21"/>
                <w:lang w:eastAsia="cs-CZ"/>
              </w:rPr>
            </w:pPr>
            <w:r w:rsidRPr="00C40431">
              <w:rPr>
                <w:rFonts w:ascii="Calibri" w:eastAsia="Times New Roman" w:hAnsi="Calibri" w:cs="Calibri"/>
                <w:b/>
                <w:bCs/>
                <w:color w:val="FFFFFF"/>
                <w:szCs w:val="21"/>
                <w:lang w:eastAsia="cs-CZ"/>
              </w:rPr>
              <w:t>ZPŠ</w:t>
            </w:r>
          </w:p>
        </w:tc>
        <w:tc>
          <w:tcPr>
            <w:tcW w:w="992" w:type="dxa"/>
            <w:vMerge w:val="restart"/>
            <w:tcBorders>
              <w:top w:val="single" w:sz="12" w:space="0" w:color="4F81BD"/>
              <w:left w:val="nil"/>
              <w:bottom w:val="nil"/>
              <w:right w:val="nil"/>
            </w:tcBorders>
            <w:shd w:val="clear" w:color="000000" w:fill="4F81BD"/>
            <w:vAlign w:val="center"/>
            <w:hideMark/>
          </w:tcPr>
          <w:p w14:paraId="689DA7E2" w14:textId="77777777" w:rsidR="00F31582" w:rsidRPr="00C40431" w:rsidRDefault="00F31582" w:rsidP="005E562F">
            <w:pPr>
              <w:spacing w:after="0" w:line="240" w:lineRule="auto"/>
              <w:jc w:val="center"/>
              <w:rPr>
                <w:rFonts w:ascii="Calibri" w:eastAsia="Times New Roman" w:hAnsi="Calibri" w:cs="Calibri"/>
                <w:b/>
                <w:bCs/>
                <w:color w:val="FFFFFF"/>
                <w:szCs w:val="21"/>
                <w:lang w:eastAsia="cs-CZ"/>
              </w:rPr>
            </w:pPr>
            <w:r w:rsidRPr="00C40431">
              <w:rPr>
                <w:rFonts w:ascii="Calibri" w:eastAsia="Times New Roman" w:hAnsi="Calibri" w:cs="Calibri"/>
                <w:b/>
                <w:bCs/>
                <w:color w:val="FFFFFF"/>
                <w:szCs w:val="21"/>
                <w:lang w:eastAsia="cs-CZ"/>
              </w:rPr>
              <w:t>ZPMV ČR</w:t>
            </w:r>
          </w:p>
        </w:tc>
        <w:tc>
          <w:tcPr>
            <w:tcW w:w="850" w:type="dxa"/>
            <w:vMerge w:val="restart"/>
            <w:tcBorders>
              <w:top w:val="single" w:sz="12" w:space="0" w:color="4F81BD"/>
              <w:left w:val="nil"/>
              <w:bottom w:val="nil"/>
              <w:right w:val="single" w:sz="12" w:space="0" w:color="4F81BD"/>
            </w:tcBorders>
            <w:shd w:val="clear" w:color="000000" w:fill="6691C6"/>
            <w:vAlign w:val="center"/>
            <w:hideMark/>
          </w:tcPr>
          <w:p w14:paraId="033E6D6F" w14:textId="77777777" w:rsidR="00F31582" w:rsidRPr="00C40431" w:rsidRDefault="00F31582" w:rsidP="005E562F">
            <w:pPr>
              <w:spacing w:after="0" w:line="240" w:lineRule="auto"/>
              <w:jc w:val="center"/>
              <w:rPr>
                <w:rFonts w:ascii="Calibri" w:eastAsia="Times New Roman" w:hAnsi="Calibri" w:cs="Calibri"/>
                <w:b/>
                <w:bCs/>
                <w:color w:val="FFFFFF"/>
                <w:szCs w:val="21"/>
                <w:lang w:eastAsia="cs-CZ"/>
              </w:rPr>
            </w:pPr>
            <w:r w:rsidRPr="00C40431">
              <w:rPr>
                <w:rFonts w:ascii="Calibri" w:eastAsia="Times New Roman" w:hAnsi="Calibri" w:cs="Calibri"/>
                <w:b/>
                <w:bCs/>
                <w:color w:val="FFFFFF"/>
                <w:szCs w:val="21"/>
                <w:lang w:eastAsia="cs-CZ"/>
              </w:rPr>
              <w:t>RBP</w:t>
            </w:r>
          </w:p>
        </w:tc>
      </w:tr>
      <w:tr w:rsidR="008C4D8D" w:rsidRPr="00C40431" w14:paraId="0234C8C9" w14:textId="77777777" w:rsidTr="008C4D8D">
        <w:trPr>
          <w:trHeight w:val="280"/>
        </w:trPr>
        <w:tc>
          <w:tcPr>
            <w:tcW w:w="2962" w:type="dxa"/>
            <w:tcBorders>
              <w:top w:val="nil"/>
              <w:left w:val="single" w:sz="12" w:space="0" w:color="4F81BD"/>
              <w:bottom w:val="nil"/>
              <w:right w:val="nil"/>
            </w:tcBorders>
            <w:shd w:val="clear" w:color="000000" w:fill="4F81BD"/>
            <w:vAlign w:val="center"/>
            <w:hideMark/>
          </w:tcPr>
          <w:p w14:paraId="462D11CB" w14:textId="77777777" w:rsidR="00F31582" w:rsidRPr="00C40431" w:rsidRDefault="00F31582" w:rsidP="005E562F">
            <w:pPr>
              <w:spacing w:after="0" w:line="240" w:lineRule="auto"/>
              <w:rPr>
                <w:rFonts w:ascii="Calibri" w:eastAsia="Times New Roman" w:hAnsi="Calibri" w:cs="Calibri"/>
                <w:b/>
                <w:bCs/>
                <w:i/>
                <w:iCs/>
                <w:color w:val="FFFFFF"/>
                <w:szCs w:val="21"/>
                <w:lang w:eastAsia="cs-CZ"/>
              </w:rPr>
            </w:pPr>
            <w:r w:rsidRPr="00C40431">
              <w:rPr>
                <w:rFonts w:ascii="Calibri" w:eastAsia="Times New Roman" w:hAnsi="Calibri" w:cs="Calibri"/>
                <w:b/>
                <w:bCs/>
                <w:i/>
                <w:iCs/>
                <w:color w:val="FFFFFF"/>
                <w:szCs w:val="21"/>
                <w:lang w:eastAsia="cs-CZ"/>
              </w:rPr>
              <w:t xml:space="preserve">průměrný počet </w:t>
            </w:r>
          </w:p>
        </w:tc>
        <w:tc>
          <w:tcPr>
            <w:tcW w:w="992" w:type="dxa"/>
            <w:vMerge/>
            <w:tcBorders>
              <w:top w:val="single" w:sz="12" w:space="0" w:color="4F81BD"/>
              <w:left w:val="nil"/>
              <w:bottom w:val="nil"/>
              <w:right w:val="nil"/>
            </w:tcBorders>
            <w:vAlign w:val="center"/>
            <w:hideMark/>
          </w:tcPr>
          <w:p w14:paraId="4A1065B0" w14:textId="77777777" w:rsidR="00F31582" w:rsidRPr="00C40431" w:rsidRDefault="00F31582" w:rsidP="005E562F">
            <w:pPr>
              <w:spacing w:after="0" w:line="240" w:lineRule="auto"/>
              <w:rPr>
                <w:rFonts w:ascii="Calibri" w:eastAsia="Times New Roman" w:hAnsi="Calibri" w:cs="Calibri"/>
                <w:b/>
                <w:bCs/>
                <w:color w:val="FFFFFF"/>
                <w:szCs w:val="21"/>
                <w:lang w:eastAsia="cs-CZ"/>
              </w:rPr>
            </w:pPr>
          </w:p>
        </w:tc>
        <w:tc>
          <w:tcPr>
            <w:tcW w:w="993" w:type="dxa"/>
            <w:vMerge/>
            <w:tcBorders>
              <w:top w:val="single" w:sz="12" w:space="0" w:color="4F81BD"/>
              <w:left w:val="nil"/>
              <w:bottom w:val="nil"/>
              <w:right w:val="nil"/>
            </w:tcBorders>
            <w:vAlign w:val="center"/>
            <w:hideMark/>
          </w:tcPr>
          <w:p w14:paraId="7219F065" w14:textId="77777777" w:rsidR="00F31582" w:rsidRPr="00C40431" w:rsidRDefault="00F31582" w:rsidP="005E562F">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68283C43" w14:textId="77777777" w:rsidR="00F31582" w:rsidRPr="00C40431" w:rsidRDefault="00F31582" w:rsidP="005E562F">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6A9CD3FE" w14:textId="77777777" w:rsidR="00F31582" w:rsidRPr="00C40431" w:rsidRDefault="00F31582" w:rsidP="005E562F">
            <w:pPr>
              <w:spacing w:after="0" w:line="240" w:lineRule="auto"/>
              <w:rPr>
                <w:rFonts w:ascii="Calibri" w:eastAsia="Times New Roman" w:hAnsi="Calibri" w:cs="Calibri"/>
                <w:b/>
                <w:bCs/>
                <w:color w:val="FFFFFF"/>
                <w:szCs w:val="21"/>
                <w:lang w:eastAsia="cs-CZ"/>
              </w:rPr>
            </w:pPr>
          </w:p>
        </w:tc>
        <w:tc>
          <w:tcPr>
            <w:tcW w:w="851" w:type="dxa"/>
            <w:vMerge/>
            <w:tcBorders>
              <w:top w:val="single" w:sz="12" w:space="0" w:color="4F81BD"/>
              <w:left w:val="nil"/>
              <w:bottom w:val="nil"/>
              <w:right w:val="nil"/>
            </w:tcBorders>
            <w:vAlign w:val="center"/>
            <w:hideMark/>
          </w:tcPr>
          <w:p w14:paraId="1D7DA891" w14:textId="77777777" w:rsidR="00F31582" w:rsidRPr="00C40431" w:rsidRDefault="00F31582" w:rsidP="005E562F">
            <w:pPr>
              <w:spacing w:after="0" w:line="240" w:lineRule="auto"/>
              <w:rPr>
                <w:rFonts w:ascii="Calibri" w:eastAsia="Times New Roman" w:hAnsi="Calibri" w:cs="Calibri"/>
                <w:b/>
                <w:bCs/>
                <w:color w:val="FFFFFF"/>
                <w:szCs w:val="21"/>
                <w:lang w:eastAsia="cs-CZ"/>
              </w:rPr>
            </w:pPr>
          </w:p>
        </w:tc>
        <w:tc>
          <w:tcPr>
            <w:tcW w:w="992" w:type="dxa"/>
            <w:vMerge/>
            <w:tcBorders>
              <w:top w:val="single" w:sz="12" w:space="0" w:color="4F81BD"/>
              <w:left w:val="nil"/>
              <w:bottom w:val="nil"/>
              <w:right w:val="nil"/>
            </w:tcBorders>
            <w:vAlign w:val="center"/>
            <w:hideMark/>
          </w:tcPr>
          <w:p w14:paraId="78B88EBA" w14:textId="77777777" w:rsidR="00F31582" w:rsidRPr="00C40431" w:rsidRDefault="00F31582" w:rsidP="005E562F">
            <w:pPr>
              <w:spacing w:after="0" w:line="240" w:lineRule="auto"/>
              <w:rPr>
                <w:rFonts w:ascii="Calibri" w:eastAsia="Times New Roman" w:hAnsi="Calibri" w:cs="Calibri"/>
                <w:b/>
                <w:bCs/>
                <w:color w:val="FFFFFF"/>
                <w:szCs w:val="21"/>
                <w:lang w:eastAsia="cs-CZ"/>
              </w:rPr>
            </w:pPr>
          </w:p>
        </w:tc>
        <w:tc>
          <w:tcPr>
            <w:tcW w:w="850" w:type="dxa"/>
            <w:vMerge/>
            <w:tcBorders>
              <w:top w:val="single" w:sz="12" w:space="0" w:color="4F81BD"/>
              <w:left w:val="nil"/>
              <w:bottom w:val="nil"/>
              <w:right w:val="single" w:sz="12" w:space="0" w:color="4F81BD"/>
            </w:tcBorders>
            <w:vAlign w:val="center"/>
            <w:hideMark/>
          </w:tcPr>
          <w:p w14:paraId="5B485D6B" w14:textId="77777777" w:rsidR="00F31582" w:rsidRPr="00C40431" w:rsidRDefault="00F31582" w:rsidP="005E562F">
            <w:pPr>
              <w:spacing w:after="0" w:line="240" w:lineRule="auto"/>
              <w:rPr>
                <w:rFonts w:ascii="Calibri" w:eastAsia="Times New Roman" w:hAnsi="Calibri" w:cs="Calibri"/>
                <w:b/>
                <w:bCs/>
                <w:color w:val="FFFFFF"/>
                <w:szCs w:val="21"/>
                <w:lang w:eastAsia="cs-CZ"/>
              </w:rPr>
            </w:pPr>
          </w:p>
        </w:tc>
      </w:tr>
      <w:tr w:rsidR="008C4D8D" w:rsidRPr="00C40431" w14:paraId="2A23744B" w14:textId="77777777" w:rsidTr="008C4D8D">
        <w:trPr>
          <w:trHeight w:val="280"/>
        </w:trPr>
        <w:tc>
          <w:tcPr>
            <w:tcW w:w="2962" w:type="dxa"/>
            <w:tcBorders>
              <w:top w:val="nil"/>
              <w:left w:val="single" w:sz="12" w:space="0" w:color="4F81BD"/>
              <w:bottom w:val="nil"/>
              <w:right w:val="nil"/>
            </w:tcBorders>
            <w:shd w:val="clear" w:color="auto" w:fill="auto"/>
            <w:vAlign w:val="center"/>
            <w:hideMark/>
          </w:tcPr>
          <w:p w14:paraId="3E07849C" w14:textId="77777777" w:rsidR="00F31582" w:rsidRPr="00C40431" w:rsidRDefault="00F31582" w:rsidP="005E562F">
            <w:pPr>
              <w:spacing w:after="0" w:line="240" w:lineRule="auto"/>
              <w:rPr>
                <w:rFonts w:ascii="Calibri" w:eastAsia="Times New Roman" w:hAnsi="Calibri" w:cs="Calibri"/>
                <w:b/>
                <w:bCs/>
                <w:color w:val="000000"/>
                <w:szCs w:val="21"/>
                <w:lang w:eastAsia="cs-CZ"/>
              </w:rPr>
            </w:pPr>
            <w:r w:rsidRPr="00C40431">
              <w:rPr>
                <w:rFonts w:ascii="Calibri" w:eastAsia="Times New Roman" w:hAnsi="Calibri" w:cs="Calibri"/>
                <w:b/>
                <w:bCs/>
                <w:color w:val="000000"/>
                <w:szCs w:val="21"/>
                <w:lang w:eastAsia="cs-CZ"/>
              </w:rPr>
              <w:t>pojištěnců</w:t>
            </w:r>
          </w:p>
        </w:tc>
        <w:tc>
          <w:tcPr>
            <w:tcW w:w="992" w:type="dxa"/>
            <w:tcBorders>
              <w:top w:val="nil"/>
              <w:left w:val="nil"/>
              <w:bottom w:val="nil"/>
              <w:right w:val="nil"/>
            </w:tcBorders>
            <w:shd w:val="clear" w:color="000000" w:fill="DCE6F1"/>
            <w:noWrap/>
            <w:vAlign w:val="center"/>
            <w:hideMark/>
          </w:tcPr>
          <w:p w14:paraId="41773A5A"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6 159 982</w:t>
            </w:r>
          </w:p>
        </w:tc>
        <w:tc>
          <w:tcPr>
            <w:tcW w:w="993" w:type="dxa"/>
            <w:tcBorders>
              <w:top w:val="nil"/>
              <w:left w:val="nil"/>
              <w:bottom w:val="nil"/>
              <w:right w:val="nil"/>
            </w:tcBorders>
            <w:shd w:val="clear" w:color="auto" w:fill="auto"/>
            <w:noWrap/>
            <w:vAlign w:val="center"/>
            <w:hideMark/>
          </w:tcPr>
          <w:p w14:paraId="16066BD6"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707 158</w:t>
            </w:r>
          </w:p>
        </w:tc>
        <w:tc>
          <w:tcPr>
            <w:tcW w:w="992" w:type="dxa"/>
            <w:tcBorders>
              <w:top w:val="nil"/>
              <w:left w:val="nil"/>
              <w:bottom w:val="nil"/>
              <w:right w:val="nil"/>
            </w:tcBorders>
            <w:shd w:val="clear" w:color="000000" w:fill="DCE6F1"/>
            <w:noWrap/>
            <w:vAlign w:val="center"/>
            <w:hideMark/>
          </w:tcPr>
          <w:p w14:paraId="0F639BC1"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1 311 309</w:t>
            </w:r>
          </w:p>
        </w:tc>
        <w:tc>
          <w:tcPr>
            <w:tcW w:w="992" w:type="dxa"/>
            <w:tcBorders>
              <w:top w:val="nil"/>
              <w:left w:val="nil"/>
              <w:bottom w:val="nil"/>
              <w:right w:val="nil"/>
            </w:tcBorders>
            <w:shd w:val="clear" w:color="auto" w:fill="auto"/>
            <w:noWrap/>
            <w:vAlign w:val="center"/>
            <w:hideMark/>
          </w:tcPr>
          <w:p w14:paraId="7B5AF8A0"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763 155</w:t>
            </w:r>
          </w:p>
        </w:tc>
        <w:tc>
          <w:tcPr>
            <w:tcW w:w="851" w:type="dxa"/>
            <w:tcBorders>
              <w:top w:val="nil"/>
              <w:left w:val="nil"/>
              <w:bottom w:val="nil"/>
              <w:right w:val="nil"/>
            </w:tcBorders>
            <w:shd w:val="clear" w:color="000000" w:fill="DCE6F1"/>
            <w:noWrap/>
            <w:vAlign w:val="center"/>
            <w:hideMark/>
          </w:tcPr>
          <w:p w14:paraId="6C011732"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144 068</w:t>
            </w:r>
          </w:p>
        </w:tc>
        <w:tc>
          <w:tcPr>
            <w:tcW w:w="992" w:type="dxa"/>
            <w:tcBorders>
              <w:top w:val="nil"/>
              <w:left w:val="nil"/>
              <w:bottom w:val="nil"/>
              <w:right w:val="nil"/>
            </w:tcBorders>
            <w:shd w:val="clear" w:color="auto" w:fill="auto"/>
            <w:noWrap/>
            <w:vAlign w:val="center"/>
            <w:hideMark/>
          </w:tcPr>
          <w:p w14:paraId="00E3C9C9"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1 351 166</w:t>
            </w:r>
          </w:p>
        </w:tc>
        <w:tc>
          <w:tcPr>
            <w:tcW w:w="850" w:type="dxa"/>
            <w:tcBorders>
              <w:top w:val="nil"/>
              <w:left w:val="nil"/>
              <w:bottom w:val="nil"/>
              <w:right w:val="single" w:sz="12" w:space="0" w:color="4F81BD"/>
            </w:tcBorders>
            <w:shd w:val="clear" w:color="000000" w:fill="DCE6F1"/>
            <w:noWrap/>
            <w:vAlign w:val="center"/>
            <w:hideMark/>
          </w:tcPr>
          <w:p w14:paraId="3DC0D7CC"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428 406</w:t>
            </w:r>
          </w:p>
        </w:tc>
      </w:tr>
      <w:tr w:rsidR="008C4D8D" w:rsidRPr="00C40431" w14:paraId="1AE5E030" w14:textId="77777777" w:rsidTr="008C4D8D">
        <w:trPr>
          <w:trHeight w:val="280"/>
        </w:trPr>
        <w:tc>
          <w:tcPr>
            <w:tcW w:w="2962" w:type="dxa"/>
            <w:tcBorders>
              <w:top w:val="nil"/>
              <w:left w:val="single" w:sz="12" w:space="0" w:color="4F81BD"/>
              <w:bottom w:val="nil"/>
              <w:right w:val="nil"/>
            </w:tcBorders>
            <w:shd w:val="clear" w:color="000000" w:fill="EEF3F8"/>
            <w:vAlign w:val="center"/>
            <w:hideMark/>
          </w:tcPr>
          <w:p w14:paraId="2D31359E" w14:textId="77777777" w:rsidR="00F31582" w:rsidRPr="00C40431" w:rsidRDefault="00F31582" w:rsidP="005E562F">
            <w:pPr>
              <w:spacing w:after="0" w:line="240" w:lineRule="auto"/>
              <w:rPr>
                <w:rFonts w:ascii="Calibri" w:eastAsia="Times New Roman" w:hAnsi="Calibri" w:cs="Calibri"/>
                <w:color w:val="000000"/>
                <w:szCs w:val="21"/>
                <w:lang w:eastAsia="cs-CZ"/>
              </w:rPr>
            </w:pPr>
            <w:r w:rsidRPr="00C40431">
              <w:rPr>
                <w:rFonts w:ascii="Calibri" w:eastAsia="Times New Roman" w:hAnsi="Calibri" w:cs="Calibri"/>
                <w:color w:val="000000"/>
                <w:szCs w:val="21"/>
                <w:lang w:eastAsia="cs-CZ"/>
              </w:rPr>
              <w:t>z toho státem hrazených</w:t>
            </w:r>
          </w:p>
        </w:tc>
        <w:tc>
          <w:tcPr>
            <w:tcW w:w="992" w:type="dxa"/>
            <w:tcBorders>
              <w:top w:val="nil"/>
              <w:left w:val="nil"/>
              <w:bottom w:val="nil"/>
              <w:right w:val="nil"/>
            </w:tcBorders>
            <w:shd w:val="clear" w:color="000000" w:fill="EEF3F8"/>
            <w:noWrap/>
            <w:vAlign w:val="center"/>
            <w:hideMark/>
          </w:tcPr>
          <w:p w14:paraId="53E2B61B"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3 444 288</w:t>
            </w:r>
          </w:p>
        </w:tc>
        <w:tc>
          <w:tcPr>
            <w:tcW w:w="993" w:type="dxa"/>
            <w:tcBorders>
              <w:top w:val="nil"/>
              <w:left w:val="nil"/>
              <w:bottom w:val="nil"/>
              <w:right w:val="nil"/>
            </w:tcBorders>
            <w:shd w:val="clear" w:color="000000" w:fill="EEF3F8"/>
            <w:noWrap/>
            <w:vAlign w:val="center"/>
            <w:hideMark/>
          </w:tcPr>
          <w:p w14:paraId="3B70FD21"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379 960</w:t>
            </w:r>
          </w:p>
        </w:tc>
        <w:tc>
          <w:tcPr>
            <w:tcW w:w="992" w:type="dxa"/>
            <w:tcBorders>
              <w:top w:val="nil"/>
              <w:left w:val="nil"/>
              <w:bottom w:val="nil"/>
              <w:right w:val="nil"/>
            </w:tcBorders>
            <w:shd w:val="clear" w:color="000000" w:fill="EEF3F8"/>
            <w:noWrap/>
            <w:vAlign w:val="center"/>
            <w:hideMark/>
          </w:tcPr>
          <w:p w14:paraId="78ABB43A"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745 855</w:t>
            </w:r>
          </w:p>
        </w:tc>
        <w:tc>
          <w:tcPr>
            <w:tcW w:w="992" w:type="dxa"/>
            <w:tcBorders>
              <w:top w:val="nil"/>
              <w:left w:val="nil"/>
              <w:bottom w:val="nil"/>
              <w:right w:val="nil"/>
            </w:tcBorders>
            <w:shd w:val="clear" w:color="000000" w:fill="EEF3F8"/>
            <w:noWrap/>
            <w:vAlign w:val="center"/>
            <w:hideMark/>
          </w:tcPr>
          <w:p w14:paraId="6E2DFBB8"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424 570</w:t>
            </w:r>
          </w:p>
        </w:tc>
        <w:tc>
          <w:tcPr>
            <w:tcW w:w="851" w:type="dxa"/>
            <w:tcBorders>
              <w:top w:val="nil"/>
              <w:left w:val="nil"/>
              <w:bottom w:val="nil"/>
              <w:right w:val="nil"/>
            </w:tcBorders>
            <w:shd w:val="clear" w:color="000000" w:fill="EEF3F8"/>
            <w:noWrap/>
            <w:vAlign w:val="center"/>
            <w:hideMark/>
          </w:tcPr>
          <w:p w14:paraId="751EBC59"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79 345</w:t>
            </w:r>
          </w:p>
        </w:tc>
        <w:tc>
          <w:tcPr>
            <w:tcW w:w="992" w:type="dxa"/>
            <w:tcBorders>
              <w:top w:val="nil"/>
              <w:left w:val="nil"/>
              <w:bottom w:val="nil"/>
              <w:right w:val="nil"/>
            </w:tcBorders>
            <w:shd w:val="clear" w:color="000000" w:fill="EEF3F8"/>
            <w:noWrap/>
            <w:vAlign w:val="center"/>
            <w:hideMark/>
          </w:tcPr>
          <w:p w14:paraId="372CA1F0"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758 741</w:t>
            </w:r>
          </w:p>
        </w:tc>
        <w:tc>
          <w:tcPr>
            <w:tcW w:w="850" w:type="dxa"/>
            <w:tcBorders>
              <w:top w:val="nil"/>
              <w:left w:val="nil"/>
              <w:bottom w:val="nil"/>
              <w:right w:val="single" w:sz="12" w:space="0" w:color="4F81BD"/>
            </w:tcBorders>
            <w:shd w:val="clear" w:color="000000" w:fill="EEF3F8"/>
            <w:noWrap/>
            <w:vAlign w:val="center"/>
            <w:hideMark/>
          </w:tcPr>
          <w:p w14:paraId="464D348D"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251 262</w:t>
            </w:r>
          </w:p>
        </w:tc>
      </w:tr>
      <w:tr w:rsidR="008C4D8D" w:rsidRPr="00C40431" w14:paraId="58619A90" w14:textId="77777777" w:rsidTr="008C4D8D">
        <w:trPr>
          <w:trHeight w:val="280"/>
        </w:trPr>
        <w:tc>
          <w:tcPr>
            <w:tcW w:w="2962" w:type="dxa"/>
            <w:tcBorders>
              <w:top w:val="nil"/>
              <w:left w:val="single" w:sz="12" w:space="0" w:color="4F81BD"/>
              <w:bottom w:val="nil"/>
              <w:right w:val="nil"/>
            </w:tcBorders>
            <w:shd w:val="clear" w:color="auto" w:fill="auto"/>
            <w:vAlign w:val="center"/>
            <w:hideMark/>
          </w:tcPr>
          <w:p w14:paraId="7FD6588A" w14:textId="77777777" w:rsidR="00F31582" w:rsidRPr="00C40431" w:rsidRDefault="00F31582" w:rsidP="005E562F">
            <w:pPr>
              <w:spacing w:after="0" w:line="240" w:lineRule="auto"/>
              <w:rPr>
                <w:rFonts w:ascii="Calibri" w:eastAsia="Times New Roman" w:hAnsi="Calibri" w:cs="Calibri"/>
                <w:color w:val="000000"/>
                <w:szCs w:val="21"/>
                <w:lang w:eastAsia="cs-CZ"/>
              </w:rPr>
            </w:pPr>
            <w:r w:rsidRPr="00C40431">
              <w:rPr>
                <w:rFonts w:ascii="Calibri" w:eastAsia="Times New Roman" w:hAnsi="Calibri" w:cs="Calibri"/>
                <w:color w:val="000000"/>
                <w:szCs w:val="21"/>
                <w:lang w:eastAsia="cs-CZ"/>
              </w:rPr>
              <w:t>podíl státem hrazených na celkovém počtu</w:t>
            </w:r>
          </w:p>
        </w:tc>
        <w:tc>
          <w:tcPr>
            <w:tcW w:w="992" w:type="dxa"/>
            <w:tcBorders>
              <w:top w:val="nil"/>
              <w:left w:val="nil"/>
              <w:bottom w:val="nil"/>
              <w:right w:val="nil"/>
            </w:tcBorders>
            <w:shd w:val="clear" w:color="000000" w:fill="DCE6F1"/>
            <w:noWrap/>
            <w:vAlign w:val="center"/>
            <w:hideMark/>
          </w:tcPr>
          <w:p w14:paraId="5D0FB4CB" w14:textId="28EE2A2A"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55,9</w:t>
            </w:r>
            <w:r w:rsidR="00E31296">
              <w:rPr>
                <w:rFonts w:ascii="Calibri" w:eastAsia="Times New Roman" w:hAnsi="Calibri" w:cs="Calibri"/>
                <w:color w:val="000000"/>
                <w:sz w:val="20"/>
                <w:szCs w:val="20"/>
                <w:lang w:eastAsia="cs-CZ"/>
              </w:rPr>
              <w:t xml:space="preserve"> %</w:t>
            </w:r>
          </w:p>
        </w:tc>
        <w:tc>
          <w:tcPr>
            <w:tcW w:w="993" w:type="dxa"/>
            <w:tcBorders>
              <w:top w:val="nil"/>
              <w:left w:val="nil"/>
              <w:bottom w:val="nil"/>
              <w:right w:val="nil"/>
            </w:tcBorders>
            <w:shd w:val="clear" w:color="auto" w:fill="auto"/>
            <w:noWrap/>
            <w:vAlign w:val="center"/>
            <w:hideMark/>
          </w:tcPr>
          <w:p w14:paraId="3E97C9F4" w14:textId="14867AB3"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53,7</w:t>
            </w:r>
            <w:r w:rsidR="00E31296">
              <w:rPr>
                <w:rFonts w:ascii="Calibri" w:eastAsia="Times New Roman" w:hAnsi="Calibri" w:cs="Calibri"/>
                <w:color w:val="000000"/>
                <w:sz w:val="20"/>
                <w:szCs w:val="20"/>
                <w:lang w:eastAsia="cs-CZ"/>
              </w:rPr>
              <w:t xml:space="preserve"> %</w:t>
            </w:r>
          </w:p>
        </w:tc>
        <w:tc>
          <w:tcPr>
            <w:tcW w:w="992" w:type="dxa"/>
            <w:tcBorders>
              <w:top w:val="nil"/>
              <w:left w:val="nil"/>
              <w:bottom w:val="nil"/>
              <w:right w:val="nil"/>
            </w:tcBorders>
            <w:shd w:val="clear" w:color="000000" w:fill="DCE6F1"/>
            <w:noWrap/>
            <w:vAlign w:val="center"/>
            <w:hideMark/>
          </w:tcPr>
          <w:p w14:paraId="602B794B" w14:textId="4274D99F"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56,9</w:t>
            </w:r>
            <w:r w:rsidR="00E31296">
              <w:rPr>
                <w:rFonts w:ascii="Calibri" w:eastAsia="Times New Roman" w:hAnsi="Calibri" w:cs="Calibri"/>
                <w:color w:val="000000"/>
                <w:sz w:val="20"/>
                <w:szCs w:val="20"/>
                <w:lang w:eastAsia="cs-CZ"/>
              </w:rPr>
              <w:t xml:space="preserve"> %</w:t>
            </w:r>
          </w:p>
        </w:tc>
        <w:tc>
          <w:tcPr>
            <w:tcW w:w="992" w:type="dxa"/>
            <w:tcBorders>
              <w:top w:val="nil"/>
              <w:left w:val="nil"/>
              <w:bottom w:val="nil"/>
              <w:right w:val="nil"/>
            </w:tcBorders>
            <w:shd w:val="clear" w:color="auto" w:fill="auto"/>
            <w:noWrap/>
            <w:vAlign w:val="center"/>
            <w:hideMark/>
          </w:tcPr>
          <w:p w14:paraId="7ED92269" w14:textId="418E25D3"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55,6</w:t>
            </w:r>
            <w:r w:rsidR="00E31296">
              <w:rPr>
                <w:rFonts w:ascii="Calibri" w:eastAsia="Times New Roman" w:hAnsi="Calibri" w:cs="Calibri"/>
                <w:color w:val="000000"/>
                <w:sz w:val="20"/>
                <w:szCs w:val="20"/>
                <w:lang w:eastAsia="cs-CZ"/>
              </w:rPr>
              <w:t xml:space="preserve"> %</w:t>
            </w:r>
          </w:p>
        </w:tc>
        <w:tc>
          <w:tcPr>
            <w:tcW w:w="851" w:type="dxa"/>
            <w:tcBorders>
              <w:top w:val="nil"/>
              <w:left w:val="nil"/>
              <w:bottom w:val="nil"/>
              <w:right w:val="nil"/>
            </w:tcBorders>
            <w:shd w:val="clear" w:color="000000" w:fill="DCE6F1"/>
            <w:noWrap/>
            <w:vAlign w:val="center"/>
            <w:hideMark/>
          </w:tcPr>
          <w:p w14:paraId="6B0A131F" w14:textId="19D80EE1"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55,1</w:t>
            </w:r>
            <w:r w:rsidR="00E31296">
              <w:rPr>
                <w:rFonts w:ascii="Calibri" w:eastAsia="Times New Roman" w:hAnsi="Calibri" w:cs="Calibri"/>
                <w:color w:val="000000"/>
                <w:sz w:val="20"/>
                <w:szCs w:val="20"/>
                <w:lang w:eastAsia="cs-CZ"/>
              </w:rPr>
              <w:t xml:space="preserve"> %</w:t>
            </w:r>
          </w:p>
        </w:tc>
        <w:tc>
          <w:tcPr>
            <w:tcW w:w="992" w:type="dxa"/>
            <w:tcBorders>
              <w:top w:val="nil"/>
              <w:left w:val="nil"/>
              <w:bottom w:val="nil"/>
              <w:right w:val="nil"/>
            </w:tcBorders>
            <w:shd w:val="clear" w:color="auto" w:fill="auto"/>
            <w:noWrap/>
            <w:vAlign w:val="center"/>
            <w:hideMark/>
          </w:tcPr>
          <w:p w14:paraId="7C8C8B90" w14:textId="1E066A11"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56,2</w:t>
            </w:r>
            <w:r w:rsidR="00E31296">
              <w:rPr>
                <w:rFonts w:ascii="Calibri" w:eastAsia="Times New Roman" w:hAnsi="Calibri" w:cs="Calibri"/>
                <w:color w:val="000000"/>
                <w:sz w:val="20"/>
                <w:szCs w:val="20"/>
                <w:lang w:eastAsia="cs-CZ"/>
              </w:rPr>
              <w:t xml:space="preserve"> %</w:t>
            </w:r>
          </w:p>
        </w:tc>
        <w:tc>
          <w:tcPr>
            <w:tcW w:w="850" w:type="dxa"/>
            <w:tcBorders>
              <w:top w:val="nil"/>
              <w:left w:val="nil"/>
              <w:bottom w:val="nil"/>
              <w:right w:val="single" w:sz="12" w:space="0" w:color="4F81BD"/>
            </w:tcBorders>
            <w:shd w:val="clear" w:color="000000" w:fill="DCE6F1"/>
            <w:noWrap/>
            <w:vAlign w:val="center"/>
            <w:hideMark/>
          </w:tcPr>
          <w:p w14:paraId="36D30488" w14:textId="1D28FDBB"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58,7</w:t>
            </w:r>
            <w:r w:rsidR="00E31296">
              <w:rPr>
                <w:rFonts w:ascii="Calibri" w:eastAsia="Times New Roman" w:hAnsi="Calibri" w:cs="Calibri"/>
                <w:color w:val="000000"/>
                <w:sz w:val="20"/>
                <w:szCs w:val="20"/>
                <w:lang w:eastAsia="cs-CZ"/>
              </w:rPr>
              <w:t xml:space="preserve"> %</w:t>
            </w:r>
          </w:p>
        </w:tc>
      </w:tr>
      <w:tr w:rsidR="008C4D8D" w:rsidRPr="00C40431" w14:paraId="1921451E" w14:textId="77777777" w:rsidTr="008C4D8D">
        <w:trPr>
          <w:trHeight w:val="280"/>
        </w:trPr>
        <w:tc>
          <w:tcPr>
            <w:tcW w:w="2962" w:type="dxa"/>
            <w:tcBorders>
              <w:top w:val="nil"/>
              <w:left w:val="single" w:sz="12" w:space="0" w:color="4F81BD"/>
              <w:bottom w:val="nil"/>
              <w:right w:val="nil"/>
            </w:tcBorders>
            <w:shd w:val="clear" w:color="000000" w:fill="EEF3F8"/>
            <w:vAlign w:val="center"/>
            <w:hideMark/>
          </w:tcPr>
          <w:p w14:paraId="33737941" w14:textId="77777777" w:rsidR="00F31582" w:rsidRPr="00C40431" w:rsidRDefault="00F31582" w:rsidP="005E562F">
            <w:pPr>
              <w:spacing w:after="0" w:line="240" w:lineRule="auto"/>
              <w:rPr>
                <w:rFonts w:ascii="Calibri" w:eastAsia="Times New Roman" w:hAnsi="Calibri" w:cs="Calibri"/>
                <w:b/>
                <w:bCs/>
                <w:color w:val="000000"/>
                <w:szCs w:val="21"/>
                <w:lang w:eastAsia="cs-CZ"/>
              </w:rPr>
            </w:pPr>
            <w:r w:rsidRPr="00C40431">
              <w:rPr>
                <w:rFonts w:ascii="Calibri" w:eastAsia="Times New Roman" w:hAnsi="Calibri" w:cs="Calibri"/>
                <w:b/>
                <w:bCs/>
                <w:color w:val="000000"/>
                <w:szCs w:val="21"/>
                <w:lang w:eastAsia="cs-CZ"/>
              </w:rPr>
              <w:t>zaměstnanců</w:t>
            </w:r>
          </w:p>
        </w:tc>
        <w:tc>
          <w:tcPr>
            <w:tcW w:w="992" w:type="dxa"/>
            <w:tcBorders>
              <w:top w:val="nil"/>
              <w:left w:val="nil"/>
              <w:bottom w:val="nil"/>
              <w:right w:val="nil"/>
            </w:tcBorders>
            <w:shd w:val="clear" w:color="000000" w:fill="EEF3F8"/>
            <w:noWrap/>
            <w:vAlign w:val="center"/>
            <w:hideMark/>
          </w:tcPr>
          <w:p w14:paraId="6FFF7E83"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3 539</w:t>
            </w:r>
          </w:p>
        </w:tc>
        <w:tc>
          <w:tcPr>
            <w:tcW w:w="993" w:type="dxa"/>
            <w:tcBorders>
              <w:top w:val="nil"/>
              <w:left w:val="nil"/>
              <w:bottom w:val="nil"/>
              <w:right w:val="nil"/>
            </w:tcBorders>
            <w:shd w:val="clear" w:color="000000" w:fill="EEF3F8"/>
            <w:noWrap/>
            <w:vAlign w:val="center"/>
            <w:hideMark/>
          </w:tcPr>
          <w:p w14:paraId="37A567DE"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389</w:t>
            </w:r>
          </w:p>
        </w:tc>
        <w:tc>
          <w:tcPr>
            <w:tcW w:w="992" w:type="dxa"/>
            <w:tcBorders>
              <w:top w:val="nil"/>
              <w:left w:val="nil"/>
              <w:bottom w:val="nil"/>
              <w:right w:val="nil"/>
            </w:tcBorders>
            <w:shd w:val="clear" w:color="000000" w:fill="EEF3F8"/>
            <w:noWrap/>
            <w:vAlign w:val="center"/>
            <w:hideMark/>
          </w:tcPr>
          <w:p w14:paraId="5F8E8849"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686</w:t>
            </w:r>
          </w:p>
        </w:tc>
        <w:tc>
          <w:tcPr>
            <w:tcW w:w="992" w:type="dxa"/>
            <w:tcBorders>
              <w:top w:val="nil"/>
              <w:left w:val="nil"/>
              <w:bottom w:val="nil"/>
              <w:right w:val="nil"/>
            </w:tcBorders>
            <w:shd w:val="clear" w:color="000000" w:fill="EEF3F8"/>
            <w:noWrap/>
            <w:vAlign w:val="center"/>
            <w:hideMark/>
          </w:tcPr>
          <w:p w14:paraId="7A0F5426"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431</w:t>
            </w:r>
          </w:p>
        </w:tc>
        <w:tc>
          <w:tcPr>
            <w:tcW w:w="851" w:type="dxa"/>
            <w:tcBorders>
              <w:top w:val="nil"/>
              <w:left w:val="nil"/>
              <w:bottom w:val="nil"/>
              <w:right w:val="nil"/>
            </w:tcBorders>
            <w:shd w:val="clear" w:color="000000" w:fill="EEF3F8"/>
            <w:noWrap/>
            <w:vAlign w:val="center"/>
            <w:hideMark/>
          </w:tcPr>
          <w:p w14:paraId="391C2AC5"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83</w:t>
            </w:r>
          </w:p>
        </w:tc>
        <w:tc>
          <w:tcPr>
            <w:tcW w:w="992" w:type="dxa"/>
            <w:tcBorders>
              <w:top w:val="nil"/>
              <w:left w:val="nil"/>
              <w:bottom w:val="nil"/>
              <w:right w:val="nil"/>
            </w:tcBorders>
            <w:shd w:val="clear" w:color="000000" w:fill="EEF3F8"/>
            <w:noWrap/>
            <w:vAlign w:val="center"/>
            <w:hideMark/>
          </w:tcPr>
          <w:p w14:paraId="08A18FE0"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721</w:t>
            </w:r>
          </w:p>
        </w:tc>
        <w:tc>
          <w:tcPr>
            <w:tcW w:w="850" w:type="dxa"/>
            <w:tcBorders>
              <w:top w:val="nil"/>
              <w:left w:val="nil"/>
              <w:bottom w:val="nil"/>
              <w:right w:val="single" w:sz="12" w:space="0" w:color="4F81BD"/>
            </w:tcBorders>
            <w:shd w:val="clear" w:color="000000" w:fill="EEF3F8"/>
            <w:noWrap/>
            <w:vAlign w:val="center"/>
            <w:hideMark/>
          </w:tcPr>
          <w:p w14:paraId="391942B7" w14:textId="77777777" w:rsidR="00F31582" w:rsidRPr="00C40431" w:rsidRDefault="00F31582" w:rsidP="005E562F">
            <w:pPr>
              <w:spacing w:after="0" w:line="240" w:lineRule="auto"/>
              <w:jc w:val="right"/>
              <w:rPr>
                <w:rFonts w:ascii="Calibri" w:eastAsia="Times New Roman" w:hAnsi="Calibri" w:cs="Calibri"/>
                <w:b/>
                <w:bCs/>
                <w:color w:val="000000"/>
                <w:sz w:val="20"/>
                <w:szCs w:val="20"/>
                <w:lang w:eastAsia="cs-CZ"/>
              </w:rPr>
            </w:pPr>
            <w:r w:rsidRPr="00C40431">
              <w:rPr>
                <w:rFonts w:ascii="Calibri" w:eastAsia="Times New Roman" w:hAnsi="Calibri" w:cs="Calibri"/>
                <w:b/>
                <w:bCs/>
                <w:color w:val="000000"/>
                <w:sz w:val="20"/>
                <w:szCs w:val="20"/>
                <w:lang w:eastAsia="cs-CZ"/>
              </w:rPr>
              <w:t>239</w:t>
            </w:r>
          </w:p>
        </w:tc>
      </w:tr>
      <w:tr w:rsidR="008C4D8D" w:rsidRPr="00C40431" w14:paraId="72256282" w14:textId="77777777" w:rsidTr="008C4D8D">
        <w:trPr>
          <w:trHeight w:val="290"/>
        </w:trPr>
        <w:tc>
          <w:tcPr>
            <w:tcW w:w="2962" w:type="dxa"/>
            <w:tcBorders>
              <w:top w:val="nil"/>
              <w:left w:val="single" w:sz="12" w:space="0" w:color="4F81BD"/>
              <w:bottom w:val="single" w:sz="12" w:space="0" w:color="4F81BD"/>
              <w:right w:val="nil"/>
            </w:tcBorders>
            <w:shd w:val="clear" w:color="000000" w:fill="EEF3F8"/>
            <w:vAlign w:val="center"/>
            <w:hideMark/>
          </w:tcPr>
          <w:p w14:paraId="2C655330" w14:textId="77777777" w:rsidR="00F31582" w:rsidRPr="00C40431" w:rsidRDefault="00F31582" w:rsidP="005E562F">
            <w:pPr>
              <w:spacing w:after="0" w:line="240" w:lineRule="auto"/>
              <w:rPr>
                <w:rFonts w:ascii="Calibri" w:eastAsia="Times New Roman" w:hAnsi="Calibri" w:cs="Calibri"/>
                <w:color w:val="000000"/>
                <w:szCs w:val="21"/>
                <w:lang w:eastAsia="cs-CZ"/>
              </w:rPr>
            </w:pPr>
            <w:r w:rsidRPr="00C40431">
              <w:rPr>
                <w:rFonts w:ascii="Calibri" w:eastAsia="Times New Roman" w:hAnsi="Calibri" w:cs="Calibri"/>
                <w:color w:val="000000"/>
                <w:szCs w:val="21"/>
                <w:lang w:eastAsia="cs-CZ"/>
              </w:rPr>
              <w:t>pojištěnců na 1 zaměstnance</w:t>
            </w:r>
          </w:p>
        </w:tc>
        <w:tc>
          <w:tcPr>
            <w:tcW w:w="992" w:type="dxa"/>
            <w:tcBorders>
              <w:top w:val="nil"/>
              <w:left w:val="nil"/>
              <w:bottom w:val="single" w:sz="12" w:space="0" w:color="4F81BD"/>
              <w:right w:val="nil"/>
            </w:tcBorders>
            <w:shd w:val="clear" w:color="000000" w:fill="DCE6F1"/>
            <w:noWrap/>
            <w:vAlign w:val="center"/>
            <w:hideMark/>
          </w:tcPr>
          <w:p w14:paraId="46351042"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1 741</w:t>
            </w:r>
          </w:p>
        </w:tc>
        <w:tc>
          <w:tcPr>
            <w:tcW w:w="993" w:type="dxa"/>
            <w:tcBorders>
              <w:top w:val="nil"/>
              <w:left w:val="nil"/>
              <w:bottom w:val="single" w:sz="12" w:space="0" w:color="4F81BD"/>
              <w:right w:val="nil"/>
            </w:tcBorders>
            <w:shd w:val="clear" w:color="auto" w:fill="auto"/>
            <w:noWrap/>
            <w:vAlign w:val="center"/>
            <w:hideMark/>
          </w:tcPr>
          <w:p w14:paraId="7CBD9A2D"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1 818</w:t>
            </w:r>
          </w:p>
        </w:tc>
        <w:tc>
          <w:tcPr>
            <w:tcW w:w="992" w:type="dxa"/>
            <w:tcBorders>
              <w:top w:val="nil"/>
              <w:left w:val="nil"/>
              <w:bottom w:val="single" w:sz="12" w:space="0" w:color="4F81BD"/>
              <w:right w:val="nil"/>
            </w:tcBorders>
            <w:shd w:val="clear" w:color="000000" w:fill="DCE6F1"/>
            <w:noWrap/>
            <w:vAlign w:val="center"/>
            <w:hideMark/>
          </w:tcPr>
          <w:p w14:paraId="10D0A743"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1 912</w:t>
            </w:r>
          </w:p>
        </w:tc>
        <w:tc>
          <w:tcPr>
            <w:tcW w:w="992" w:type="dxa"/>
            <w:tcBorders>
              <w:top w:val="nil"/>
              <w:left w:val="nil"/>
              <w:bottom w:val="single" w:sz="12" w:space="0" w:color="4F81BD"/>
              <w:right w:val="nil"/>
            </w:tcBorders>
            <w:shd w:val="clear" w:color="auto" w:fill="auto"/>
            <w:noWrap/>
            <w:vAlign w:val="center"/>
            <w:hideMark/>
          </w:tcPr>
          <w:p w14:paraId="2FAD7302"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1 771</w:t>
            </w:r>
          </w:p>
        </w:tc>
        <w:tc>
          <w:tcPr>
            <w:tcW w:w="851" w:type="dxa"/>
            <w:tcBorders>
              <w:top w:val="nil"/>
              <w:left w:val="nil"/>
              <w:bottom w:val="single" w:sz="12" w:space="0" w:color="4F81BD"/>
              <w:right w:val="nil"/>
            </w:tcBorders>
            <w:shd w:val="clear" w:color="000000" w:fill="DCE6F1"/>
            <w:noWrap/>
            <w:vAlign w:val="center"/>
            <w:hideMark/>
          </w:tcPr>
          <w:p w14:paraId="2C21DA03"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1 736</w:t>
            </w:r>
          </w:p>
        </w:tc>
        <w:tc>
          <w:tcPr>
            <w:tcW w:w="992" w:type="dxa"/>
            <w:tcBorders>
              <w:top w:val="nil"/>
              <w:left w:val="nil"/>
              <w:bottom w:val="single" w:sz="12" w:space="0" w:color="4F81BD"/>
              <w:right w:val="nil"/>
            </w:tcBorders>
            <w:shd w:val="clear" w:color="auto" w:fill="auto"/>
            <w:noWrap/>
            <w:vAlign w:val="center"/>
            <w:hideMark/>
          </w:tcPr>
          <w:p w14:paraId="29B5671A"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1 874</w:t>
            </w:r>
          </w:p>
        </w:tc>
        <w:tc>
          <w:tcPr>
            <w:tcW w:w="850" w:type="dxa"/>
            <w:tcBorders>
              <w:top w:val="nil"/>
              <w:left w:val="nil"/>
              <w:bottom w:val="single" w:sz="12" w:space="0" w:color="4F81BD"/>
              <w:right w:val="single" w:sz="12" w:space="0" w:color="4F81BD"/>
            </w:tcBorders>
            <w:shd w:val="clear" w:color="000000" w:fill="DCE6F1"/>
            <w:noWrap/>
            <w:vAlign w:val="center"/>
            <w:hideMark/>
          </w:tcPr>
          <w:p w14:paraId="2F412B42" w14:textId="77777777" w:rsidR="00F31582" w:rsidRPr="00C40431" w:rsidRDefault="00F31582" w:rsidP="005E562F">
            <w:pPr>
              <w:spacing w:after="0" w:line="240" w:lineRule="auto"/>
              <w:jc w:val="right"/>
              <w:rPr>
                <w:rFonts w:ascii="Calibri" w:eastAsia="Times New Roman" w:hAnsi="Calibri" w:cs="Calibri"/>
                <w:color w:val="000000"/>
                <w:sz w:val="20"/>
                <w:szCs w:val="20"/>
                <w:lang w:eastAsia="cs-CZ"/>
              </w:rPr>
            </w:pPr>
            <w:r w:rsidRPr="00C40431">
              <w:rPr>
                <w:rFonts w:ascii="Calibri" w:eastAsia="Times New Roman" w:hAnsi="Calibri" w:cs="Calibri"/>
                <w:color w:val="000000"/>
                <w:sz w:val="20"/>
                <w:szCs w:val="20"/>
                <w:lang w:eastAsia="cs-CZ"/>
              </w:rPr>
              <w:t>1 792</w:t>
            </w:r>
          </w:p>
        </w:tc>
      </w:tr>
    </w:tbl>
    <w:p w14:paraId="3EC42D39" w14:textId="77777777" w:rsidR="00F31440" w:rsidRPr="00F31440" w:rsidRDefault="00F31440" w:rsidP="00F31440">
      <w:pPr>
        <w:rPr>
          <w:lang w:bidi="hi-IN"/>
        </w:rPr>
      </w:pPr>
    </w:p>
    <w:p w14:paraId="6B791E77" w14:textId="7AB559B4" w:rsidR="006D3803" w:rsidRPr="00EB2EE5" w:rsidRDefault="006D3803" w:rsidP="006D3803">
      <w:pPr>
        <w:spacing w:before="180" w:line="276" w:lineRule="auto"/>
        <w:jc w:val="both"/>
      </w:pPr>
      <w:r w:rsidRPr="00EB2EE5">
        <w:t xml:space="preserve">V roce </w:t>
      </w:r>
      <w:r w:rsidR="006A5409" w:rsidRPr="00EB2EE5">
        <w:t>202</w:t>
      </w:r>
      <w:r w:rsidR="00EB2EE5" w:rsidRPr="00EB2EE5">
        <w:t>3</w:t>
      </w:r>
      <w:r w:rsidR="006A5409" w:rsidRPr="00EB2EE5">
        <w:t xml:space="preserve"> </w:t>
      </w:r>
      <w:r w:rsidRPr="00EB2EE5">
        <w:t>bylo v </w:t>
      </w:r>
      <w:r w:rsidRPr="00EB2EE5">
        <w:rPr>
          <w:b/>
          <w:bCs/>
        </w:rPr>
        <w:t xml:space="preserve">průměru ve zdravotních pojišťovnách zaměstnáno </w:t>
      </w:r>
      <w:r w:rsidR="00C50E7C" w:rsidRPr="00EB2EE5">
        <w:rPr>
          <w:b/>
          <w:bCs/>
        </w:rPr>
        <w:t>6</w:t>
      </w:r>
      <w:r w:rsidR="00CC1241" w:rsidRPr="00EB2EE5">
        <w:rPr>
          <w:b/>
          <w:bCs/>
        </w:rPr>
        <w:t> </w:t>
      </w:r>
      <w:r w:rsidR="00EB2EE5" w:rsidRPr="00EB2EE5">
        <w:rPr>
          <w:b/>
          <w:bCs/>
        </w:rPr>
        <w:t>088</w:t>
      </w:r>
      <w:r w:rsidR="00CC1241" w:rsidRPr="00EB2EE5">
        <w:rPr>
          <w:b/>
          <w:bCs/>
        </w:rPr>
        <w:t xml:space="preserve"> </w:t>
      </w:r>
      <w:r w:rsidRPr="00EB2EE5">
        <w:rPr>
          <w:b/>
          <w:bCs/>
        </w:rPr>
        <w:t xml:space="preserve">osob </w:t>
      </w:r>
      <w:r w:rsidRPr="00EB2EE5">
        <w:t xml:space="preserve">(přepočtený počet) s meziročním </w:t>
      </w:r>
      <w:r w:rsidR="00C50E7C" w:rsidRPr="00EB2EE5">
        <w:t xml:space="preserve">růstem </w:t>
      </w:r>
      <w:r w:rsidRPr="00EB2EE5">
        <w:t>o </w:t>
      </w:r>
      <w:r w:rsidR="00EB2EE5" w:rsidRPr="00EB2EE5">
        <w:t>55</w:t>
      </w:r>
      <w:r w:rsidR="00C50E7C" w:rsidRPr="00EB2EE5">
        <w:t> </w:t>
      </w:r>
      <w:r w:rsidRPr="00EB2EE5">
        <w:t>zaměstnan</w:t>
      </w:r>
      <w:r w:rsidR="00EB2EE5" w:rsidRPr="00EB2EE5">
        <w:t>ců</w:t>
      </w:r>
      <w:r w:rsidRPr="00EB2EE5">
        <w:t>. Mezi zdravotními pojišťovnami lze pozorovat významné rozdíly při srovnání podílu pojištěnců na jednoho zaměstnance</w:t>
      </w:r>
      <w:r w:rsidR="00EB2EE5" w:rsidRPr="00EB2EE5">
        <w:t xml:space="preserve"> (Graf č.</w:t>
      </w:r>
      <w:r w:rsidR="00E31296">
        <w:t xml:space="preserve"> 10</w:t>
      </w:r>
      <w:r w:rsidRPr="00EB2EE5">
        <w:t>, což je v případě VZP ČR, která vzhledem k počtu pojištěnců dosahovala nejnižší hodnoty, zapříčiněno největší sítí poboček, realizací řady servisních činností pro celý systém veřejného zdravotního pojištění (např. agenda přerozdělování pojistného</w:t>
      </w:r>
      <w:r w:rsidR="0009610A" w:rsidRPr="00EB2EE5">
        <w:t>, vedení centrálního registru pojištěnců</w:t>
      </w:r>
      <w:r w:rsidR="00BC0D75" w:rsidRPr="00EB2EE5">
        <w:t>, ZUM, metodika systému</w:t>
      </w:r>
      <w:r w:rsidRPr="00EB2EE5">
        <w:t>) a</w:t>
      </w:r>
      <w:r w:rsidR="00C50E7C" w:rsidRPr="00EB2EE5">
        <w:t> </w:t>
      </w:r>
      <w:r w:rsidRPr="00EB2EE5">
        <w:t xml:space="preserve">strukturou kmene pojištěnců. </w:t>
      </w:r>
    </w:p>
    <w:p w14:paraId="2092A2DC" w14:textId="09F927C9" w:rsidR="006D3803" w:rsidRPr="00EB2EE5" w:rsidRDefault="006D3803" w:rsidP="006D3803">
      <w:pPr>
        <w:pStyle w:val="Titulek"/>
      </w:pPr>
      <w:bookmarkStart w:id="36" w:name="_Toc106884105"/>
      <w:r w:rsidRPr="00EB2EE5">
        <w:t xml:space="preserve">Graf č. </w:t>
      </w:r>
      <w:r w:rsidR="00EB2EE5" w:rsidRPr="00EB2EE5">
        <w:rPr>
          <w:noProof/>
        </w:rPr>
        <w:t>10</w:t>
      </w:r>
      <w:r w:rsidRPr="00EB2EE5">
        <w:t>: Počet pojištěnců na 1 zaměstnance</w:t>
      </w:r>
      <w:bookmarkEnd w:id="36"/>
      <w:r w:rsidR="00EB2EE5" w:rsidRPr="00EB2EE5">
        <w:t xml:space="preserve"> v roce 2023</w:t>
      </w:r>
    </w:p>
    <w:p w14:paraId="3768B924" w14:textId="695DFF12" w:rsidR="0063484F" w:rsidRPr="00A36740" w:rsidRDefault="00EB2EE5" w:rsidP="0061073B">
      <w:pPr>
        <w:spacing w:after="200" w:line="276" w:lineRule="auto"/>
        <w:jc w:val="center"/>
        <w:rPr>
          <w:rFonts w:eastAsia="Times New Roman" w:cs="Arial"/>
          <w:b/>
          <w:sz w:val="28"/>
          <w:szCs w:val="28"/>
          <w:highlight w:val="yellow"/>
          <w:lang w:eastAsia="cs-CZ"/>
        </w:rPr>
      </w:pPr>
      <w:r>
        <w:rPr>
          <w:noProof/>
          <w:lang w:eastAsia="cs-CZ"/>
        </w:rPr>
        <w:drawing>
          <wp:inline distT="0" distB="0" distL="0" distR="0" wp14:anchorId="560F3735" wp14:editId="6CF7C767">
            <wp:extent cx="5138739" cy="2266950"/>
            <wp:effectExtent l="0" t="0" r="5080" b="0"/>
            <wp:docPr id="12" name="Graf 12">
              <a:extLst xmlns:a="http://schemas.openxmlformats.org/drawingml/2006/main">
                <a:ext uri="{FF2B5EF4-FFF2-40B4-BE49-F238E27FC236}">
                  <a16:creationId xmlns:a16="http://schemas.microsoft.com/office/drawing/2014/main" id="{00000000-0008-0000-1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63484F" w:rsidRPr="00A36740">
        <w:rPr>
          <w:rFonts w:eastAsia="Times New Roman" w:cs="Arial"/>
          <w:b/>
          <w:sz w:val="28"/>
          <w:szCs w:val="28"/>
          <w:highlight w:val="yellow"/>
          <w:lang w:eastAsia="cs-CZ"/>
        </w:rPr>
        <w:br w:type="page"/>
      </w:r>
    </w:p>
    <w:p w14:paraId="4793793D" w14:textId="77777777" w:rsidR="007B05B1" w:rsidRPr="00A40AFF" w:rsidRDefault="007B05B1" w:rsidP="007327D1">
      <w:pPr>
        <w:pStyle w:val="Nadpis2"/>
      </w:pPr>
      <w:bookmarkStart w:id="37" w:name="_Toc169176578"/>
      <w:bookmarkStart w:id="38" w:name="_Hlk40173266"/>
      <w:r w:rsidRPr="00A40AFF">
        <w:t>Hospodaření ZZP v likvidaci a v konkurzu</w:t>
      </w:r>
      <w:bookmarkEnd w:id="37"/>
    </w:p>
    <w:p w14:paraId="7B65C8A1" w14:textId="77777777" w:rsidR="007C19FC" w:rsidRPr="00023CB5" w:rsidRDefault="007C19FC" w:rsidP="007C19FC">
      <w:pPr>
        <w:pStyle w:val="NADPIS"/>
        <w:spacing w:before="240" w:after="120"/>
        <w:rPr>
          <w:sz w:val="26"/>
          <w:szCs w:val="26"/>
        </w:rPr>
      </w:pPr>
      <w:r w:rsidRPr="00023CB5">
        <w:rPr>
          <w:sz w:val="26"/>
          <w:szCs w:val="26"/>
        </w:rPr>
        <w:t>MENDLOVA ZDRAVOTNÍ POJIŠŤOVNA „v likvidaci“ (MeZP)</w:t>
      </w:r>
    </w:p>
    <w:p w14:paraId="0ACEC9BE" w14:textId="3E66FB26" w:rsidR="007C19FC" w:rsidRPr="00023CB5" w:rsidRDefault="007C19FC" w:rsidP="007C19FC">
      <w:pPr>
        <w:spacing w:before="180" w:line="276" w:lineRule="auto"/>
        <w:jc w:val="both"/>
      </w:pPr>
      <w:r w:rsidRPr="00023CB5">
        <w:t>MeZP (IČ: 607 11 744) byla zapsána do obchodního rejstříku dne 12. 7. 1994 a dne 7. 11. 1997 vstoupila do likvidace. Od této doby do současnosti MeZP neprovádí žádné činnosti uvedené ve svém předmětu podnikání, její činnost je zaměřena pouze na provádění likvidace v souladu s příslušnými ustanoveními zákona.</w:t>
      </w:r>
    </w:p>
    <w:p w14:paraId="3A1E3E3D" w14:textId="77777777" w:rsidR="007C19FC" w:rsidRPr="00023CB5" w:rsidRDefault="007C19FC" w:rsidP="007C19FC">
      <w:pPr>
        <w:spacing w:before="180" w:line="276" w:lineRule="auto"/>
        <w:jc w:val="both"/>
      </w:pPr>
      <w:r w:rsidRPr="00023CB5">
        <w:t>V polovině roku 2014 odmítl likvidátor jmenování na další období, a pojišťovna tak byla od 1. 7. 2014 do 28. 8. 2014 bez statutárního orgánu. Od 28. 8. 2014 má pojišťovna nového likvidátora. Z titulu pochybností nad neúměrným prodlužováním ukončení likvidace a hospodařením se svěřeným majetkem byla zahájena společnou kontrolní skupinou MF a MZ veřejnosprávní kontrola pojišťovny.</w:t>
      </w:r>
    </w:p>
    <w:p w14:paraId="35467730" w14:textId="77777777" w:rsidR="007C19FC" w:rsidRPr="00023CB5" w:rsidRDefault="007C19FC" w:rsidP="007C19FC">
      <w:pPr>
        <w:spacing w:before="180" w:line="276" w:lineRule="auto"/>
        <w:jc w:val="both"/>
      </w:pPr>
      <w:r w:rsidRPr="00023CB5">
        <w:t>Kontrola v Mendlově zdravotní pojišťovně „v likvidaci“ proběhla v období od 5. 7. 2014 do 30. 9. 2015. Kontrola byla zaměřena na hospodaření zdravotní pojišťovny v období likvidace od roku 2008, zejména na odůvodněnost využívání finančních prostředků ze strany bývalého likvidátora. Proti Protokolu o kontrole č. 1/2014 předaného MeZP dne 23. 10. 2015 podal její současný likvidátor v zákonném termínu dne 9. 11. 2015 námitky. Úkonem doručení vyřízení námitek kontrolované osobě ve smyslu § 18 zákona č. 255/2012 Sb., o kontrole, byla kontrola MeZP dne 7. 1. 2016 ukončena.</w:t>
      </w:r>
    </w:p>
    <w:p w14:paraId="6B573BC9" w14:textId="3D82CEF0" w:rsidR="007C19FC" w:rsidRPr="00023CB5" w:rsidRDefault="007C19FC" w:rsidP="007C19FC">
      <w:pPr>
        <w:spacing w:before="180" w:line="276" w:lineRule="auto"/>
        <w:jc w:val="both"/>
      </w:pPr>
      <w:r w:rsidRPr="00023CB5">
        <w:t xml:space="preserve">Nedostatky byly zjištěny zejména v oblasti úhrady archivačních a skartačních služeb, sjednávání úvěrů u poskytovatelů finančních služeb i při proplácení některých dalších služeb. Vzhledem k tomu, že výsledkem provedené kontroly byla mimo jiné i velmi závažná zjištění o skutečnostech, které mohou zakládat podezření, že předchozí likvidátor postupoval v rozporu s právními předpisy, byl v roce 2016 podán státnímu zastupitelství podnět týkající se podezření z možné hospodářské trestné činnosti. </w:t>
      </w:r>
    </w:p>
    <w:p w14:paraId="0C9D7593" w14:textId="11AA39B5" w:rsidR="007C19FC" w:rsidRPr="00023CB5" w:rsidRDefault="007C19FC" w:rsidP="007C19FC">
      <w:pPr>
        <w:spacing w:before="180" w:line="276" w:lineRule="auto"/>
        <w:jc w:val="both"/>
      </w:pPr>
      <w:r w:rsidRPr="00023CB5">
        <w:t>Žaloba na neoprávněné vyplácení služeb (neoprávněné proplácení čerpání dovolené a stravného), sjednávání úvěrů u poskytovatelů finančních služeb, která byla podána dne 3. 10. 2016 dle znaleckého posudku na částku cca 1,23 mil. Kč s příslušenstvím, je předmětem civilního řízení. V prvním stupni u Městského soudu v Praze nárok MeZP nebyl dne 25. 10. 2017 uznán. S ohledem na odůvodnění rozhodnutí, neumožnění provedení některých navržených důkazů a vzhledem k tomu, že kontrolní orgány v protokolu o kontrole došly k odlišnému právnímu závěru z hlediska skutečností, které jsou předmětem žaloby, rozhodl likvidátor MeZP o podání odvolání. Se závěry likvidátora se odvolací soud ztotožnil a věc vrátil soudu prvního stupně, který je jeho názorem vázán. Soud prvního stupně po vrácení věci řízení přerušil s odkazem na probíhající trestní řízení (viz dále)</w:t>
      </w:r>
      <w:r w:rsidR="0097156E" w:rsidRPr="00023CB5">
        <w:t>.</w:t>
      </w:r>
      <w:r w:rsidRPr="00023CB5">
        <w:t xml:space="preserve"> </w:t>
      </w:r>
      <w:r w:rsidR="00AD39EA" w:rsidRPr="00023CB5">
        <w:t>V této části nicméně vydal Městský soud v Praze v červenci 2022 rozhodnutí, kterým žalobě MeZP zcela vyhověl. V září 2022 insolvenční správce informoval MeZP o tom, že v této části sporu nebude podávat odvolání a rozsudek je tak pravomocný.</w:t>
      </w:r>
    </w:p>
    <w:p w14:paraId="0EA8AA77" w14:textId="5BBDF26A" w:rsidR="00872627" w:rsidRPr="00023CB5" w:rsidRDefault="007C19FC" w:rsidP="007C19FC">
      <w:pPr>
        <w:spacing w:before="180" w:line="276" w:lineRule="auto"/>
        <w:jc w:val="both"/>
      </w:pPr>
      <w:r w:rsidRPr="00023CB5">
        <w:t xml:space="preserve">Náhrada za škodu způsobenou v oblasti úhrady archivačních a skartačních služeb, odhadnutá znaleckým posudkem ve výši 2,1 mil. Kč, měla být původně vymáhána v rámci trestního řízení. S ohledem na průtahy byla na začátku roku 2017 podána rovněž civilní žaloba na náhradu škody. V průběhu tohoto řízení byl jako důkaz </w:t>
      </w:r>
      <w:bookmarkEnd w:id="38"/>
      <w:r w:rsidRPr="00023CB5">
        <w:t xml:space="preserve">předložen již dříve zpracovaný znalecký posudek, avšak soud si vyžádal další. Podle něj činila způsobená škoda 1,9 mil. Kč. Z této částky prvostupňový soud vyšel a přiznal MeZP nárok na její zaplacení. Zároveň bylo žalovanému uloženo uhradit náklady řízení ve výši 0,5 mil. Kč. Proti rozhodnutí se žalovaný odvolal. </w:t>
      </w:r>
      <w:r w:rsidR="0075487E" w:rsidRPr="00023CB5">
        <w:t>Odvolací řízení bylo následně přerušeno v důsledku podání návrhu na povolení oddlužení. Na základě insolvenční správkyně bylo nicméně následně roz</w:t>
      </w:r>
      <w:r w:rsidR="003F56B8" w:rsidRPr="00023CB5">
        <w:t>hodnuto o pokračování v řízení. To doposud nebylo ukončeno.</w:t>
      </w:r>
    </w:p>
    <w:p w14:paraId="58578D7B" w14:textId="47921E24" w:rsidR="001A3A01" w:rsidRPr="00023CB5" w:rsidRDefault="007C19FC" w:rsidP="007F4A00">
      <w:pPr>
        <w:spacing w:before="180" w:line="276" w:lineRule="auto"/>
        <w:jc w:val="both"/>
      </w:pPr>
      <w:r w:rsidRPr="00023CB5">
        <w:t>Obžalovaný svým jednáním významně komplikuje uspokojení pohledávek MeZP</w:t>
      </w:r>
      <w:r w:rsidR="00D931DE" w:rsidRPr="00023CB5">
        <w:t>,</w:t>
      </w:r>
      <w:r w:rsidRPr="00023CB5">
        <w:t xml:space="preserve"> například účelovou snahou o</w:t>
      </w:r>
      <w:r w:rsidR="001479D2" w:rsidRPr="00023CB5">
        <w:t> </w:t>
      </w:r>
      <w:r w:rsidRPr="00023CB5">
        <w:t xml:space="preserve">převádění nemovitého majetku v rámci společného jmění manželů, proti čemuž se současný likvidátor bránil. </w:t>
      </w:r>
    </w:p>
    <w:p w14:paraId="715EA476" w14:textId="1AA1C0F9" w:rsidR="007C19FC" w:rsidRPr="00023CB5" w:rsidRDefault="007C19FC" w:rsidP="007C19FC">
      <w:pPr>
        <w:spacing w:before="180" w:line="276" w:lineRule="auto"/>
        <w:jc w:val="both"/>
      </w:pPr>
      <w:r w:rsidRPr="00023CB5">
        <w:t>Současným likvidátorem byly realizovány kroky, které vedly k omezení průběžného snižování zůstatku na účtech MeZP. Zásadní úsporou byla změna odměňování likvidátora (s účinností od 1. 8. 2018), kdy byla paušální měsíční odměna nahrazena jednorázovou odměnou v případě úspěchu ve sporech o náhradu škody ve výši 10 % z vymožené částky. Nejvýznamnější výdaj</w:t>
      </w:r>
      <w:r w:rsidR="00023CB5" w:rsidRPr="00023CB5">
        <w:t xml:space="preserve"> z celkových 141 tis. Kč</w:t>
      </w:r>
      <w:r w:rsidRPr="00023CB5">
        <w:t xml:space="preserve"> př</w:t>
      </w:r>
      <w:r w:rsidR="00023CB5" w:rsidRPr="00023CB5">
        <w:t>edstavovala v roce 2023</w:t>
      </w:r>
      <w:r w:rsidRPr="00023CB5">
        <w:t xml:space="preserve"> odměna za vedení účetnictví a souvisejících dokumentů</w:t>
      </w:r>
      <w:r w:rsidR="00530645" w:rsidRPr="00023CB5">
        <w:t>.</w:t>
      </w:r>
      <w:r w:rsidRPr="00023CB5">
        <w:t xml:space="preserve"> Zbylé výdaje byly tvořeny výdaji na právní služby, z nichž velká část může být po</w:t>
      </w:r>
      <w:r w:rsidR="001479D2" w:rsidRPr="00023CB5">
        <w:t> </w:t>
      </w:r>
      <w:r w:rsidRPr="00023CB5">
        <w:t>úspěchu ve sporech s předchozím likvidátorem získána zpět, a úhradou nájemného. Vhodně nastavená úroková sazba umožňovala zároveň postupně navyšovat jmění MeZP</w:t>
      </w:r>
      <w:r w:rsidR="003F56B8" w:rsidRPr="00023CB5">
        <w:t xml:space="preserve">, když úrokové příjmy v roce 2023 činily </w:t>
      </w:r>
      <w:r w:rsidR="00023CB5" w:rsidRPr="00023CB5">
        <w:t>přes 2 mil. Kč.</w:t>
      </w:r>
      <w:r w:rsidRPr="00023CB5">
        <w:t xml:space="preserve"> </w:t>
      </w:r>
    </w:p>
    <w:p w14:paraId="56D824B9" w14:textId="77777777" w:rsidR="007C19FC" w:rsidRPr="00023CB5" w:rsidRDefault="007C19FC" w:rsidP="007C19FC">
      <w:pPr>
        <w:spacing w:before="180" w:line="276" w:lineRule="auto"/>
        <w:jc w:val="both"/>
        <w:rPr>
          <w:sz w:val="26"/>
          <w:szCs w:val="26"/>
        </w:rPr>
      </w:pPr>
      <w:r w:rsidRPr="00023CB5">
        <w:t>S ohledem na výsledky kontroly MF a MZ, z nichž plyne, že došlo ke způsobení škody a bezdůvodného obohacení předchozím likvidátorem, je pro ukončení likvidace nezbytné domáhat se rovněž finančních prostředků, o něž MeZP tímto jednáním přišla. K tomu je příslušný její statutární orgán, kterým je současný likvidátor. Vzhledem k probíhajícím soudním sporům o částku cca 3,3 mil. Kč nelze termín ukončení likvidace předvídat.</w:t>
      </w:r>
    </w:p>
    <w:p w14:paraId="3D05AFBD" w14:textId="77777777" w:rsidR="007C19FC" w:rsidRPr="009E4A44" w:rsidRDefault="007C19FC" w:rsidP="007C19FC">
      <w:pPr>
        <w:pStyle w:val="NADPIS"/>
        <w:spacing w:before="240" w:after="120"/>
        <w:rPr>
          <w:sz w:val="26"/>
          <w:szCs w:val="26"/>
        </w:rPr>
      </w:pPr>
      <w:r w:rsidRPr="009E4A44">
        <w:rPr>
          <w:sz w:val="26"/>
          <w:szCs w:val="26"/>
        </w:rPr>
        <w:t>Hornická zaměstnanecká zdravotní pojišťovna v likvidaci (HZZP)</w:t>
      </w:r>
    </w:p>
    <w:p w14:paraId="1E33BA08" w14:textId="77777777" w:rsidR="007C19FC" w:rsidRPr="009E4A44" w:rsidRDefault="007C19FC" w:rsidP="007C19FC">
      <w:pPr>
        <w:spacing w:before="180" w:line="276" w:lineRule="auto"/>
        <w:jc w:val="both"/>
      </w:pPr>
      <w:r w:rsidRPr="009E4A44">
        <w:t xml:space="preserve">HZZP v likvidaci (IČ: 473 09 113), se sídlem Teplice, Masarykova 915/31, PSČ 415 02 byla zapsána do obchodního rejstříku dne 13. 11. 1992 a dne 22. 7. 1996 vstoupila do likvidace. Dne 9. 2. 1996 byl na HZZP prohlášen konkurs. </w:t>
      </w:r>
    </w:p>
    <w:p w14:paraId="41748C9D" w14:textId="77777777" w:rsidR="007C19FC" w:rsidRPr="009E4A44" w:rsidRDefault="007C19FC" w:rsidP="007C19FC">
      <w:pPr>
        <w:spacing w:before="180" w:line="276" w:lineRule="auto"/>
        <w:jc w:val="both"/>
      </w:pPr>
      <w:r w:rsidRPr="009E4A44">
        <w:t>Ministerstvo financí vystupovalo v uvedeném konkursním řízení v postavení věřitele s pohledávkou ve výši cca 1 140 mil. Kč. Podle rozvrhového usnesení č. j.: K 8/96-2998 ze dne 25. 5. 2009, připadlo na tuto pohledávku ze zpeněžené konkursní podstaty uspokojení ve výši necelých 478 mil. Kč. Ministerstvo bylo uspokojeno pouze částkou cca 325 mil. Kč. Důvodem je skutečnost, že bývalý správce konkursní podstaty svěřil z výtěžku konkursní podstaty částku ve výši 250 mil. Kč firmě Key Investments a.s. (nyní v insolvenčním řízení), která měla svěřené finanční prostředky zhodnotit. Cenné papíry nakoupené touto společností (dluhopisy firem Via Chem Group, a. s. a Borsay, a. s.) mají v současné době nulovou hodnotu. V tuto chvíli jsou přihlášeny do insolvenčních řízení pohledávky vůči uvedeným společnostem v celkové hodnotě přes 176 mil. Kč. Zbylý rozdíl činí pohledávky vůči Key Investments, a. s., kde majetek dlužníka nepředstavuje hodnotu, z níž by mohl být uhrazen dluh vůči HZZP a JUDr. Janu Vankemu, bývalému správci konkursní podstaty, který zemřel. Ve věci vymáhání této pohledávky soud zjistil pojištění profesní odpovědnosti za škodu bývalého správce konkurzní podstaty u Kooperativy pojišťovny a.s. a MF ve spolupráci se současným správcem konkursní podstaty i příslušným soudem zjišťovalo možnosti uspokojení části pohledávky z uzavřeného pojištění. K podání žaloby současným správcem konkursní podstaty Mgr. Ubrem nakonec nedošlo, neboť v době, kdy nastala událost, která by mohla být označována za pojistnou, již uplynulo pojistné období z uzavřených smluv. Další smlouvy uzavřeny nebyly a JUDr. Vanke tedy v tomto období pojištěn nebyl.</w:t>
      </w:r>
    </w:p>
    <w:p w14:paraId="738CECD3" w14:textId="1F17B487" w:rsidR="00436F6E" w:rsidRPr="009E4A44" w:rsidRDefault="007C19FC" w:rsidP="009E4A44">
      <w:pPr>
        <w:spacing w:before="180" w:line="276" w:lineRule="auto"/>
        <w:jc w:val="both"/>
        <w:rPr>
          <w:highlight w:val="yellow"/>
        </w:rPr>
      </w:pPr>
      <w:r w:rsidRPr="009E4A44">
        <w:t>Vzhledem k tomu, že v pozici věřitele k uvedeným pohledávkám vystupuje v současné době HZZP, není možné ukončit proces její likvidace. HZZP sama již nedisponuje žádnými finančními prostředky s výjimkou těch, které byly na základě výše uvedeného rozvrhového usnesení určeny pro výlohy spojené s vymáháním pohledávek. Usnesením soudu v Ústí nad Labem č. j.: K 8/98-3429 ze dne 13. 3. 2015 byl udělen souhlas s vyplacením zálohy na konkurzní odměnu správci konkurzní podstaty ve výši 400 tis. Kč. S ohledem na tyto skutečnosti a snahu o hospodárné využití zbývajících prostředků není od správce konkurzní podstaty vyžadováno zpracování účetních závěrek a jejich ověření auditorem, s výjimkou závěrečné účetní závěrky. Finanční prostředky z běžného účtu ve výši 243 tis. Kč byly převedeny na počátku roku 2017 na účet vedený u ČNB, kde jsou průběžně sledovány. Ukončení likvidace bude možné až po ukončení probíhajících konkurzních řízení</w:t>
      </w:r>
      <w:r w:rsidR="00342980" w:rsidRPr="009E4A44">
        <w:t>.</w:t>
      </w:r>
      <w:r w:rsidR="00436F6E" w:rsidRPr="00DF0A40">
        <w:rPr>
          <w:rFonts w:ascii="Arial" w:hAnsi="Arial" w:cs="Arial"/>
          <w:sz w:val="24"/>
        </w:rPr>
        <w:br w:type="page"/>
      </w:r>
    </w:p>
    <w:p w14:paraId="006658D6" w14:textId="77777777" w:rsidR="00436F6E" w:rsidRPr="00810AF9" w:rsidRDefault="00436F6E" w:rsidP="007327D1">
      <w:pPr>
        <w:pStyle w:val="Nadpis1"/>
      </w:pPr>
      <w:bookmarkStart w:id="39" w:name="_Toc169176579"/>
      <w:bookmarkStart w:id="40" w:name="_Hlk76033244"/>
      <w:r w:rsidRPr="00810AF9">
        <w:t>Zdravotní hodnocení</w:t>
      </w:r>
      <w:bookmarkEnd w:id="39"/>
    </w:p>
    <w:p w14:paraId="1CD8EFC6" w14:textId="1845D972" w:rsidR="007C74E4" w:rsidRPr="00810AF9" w:rsidRDefault="00782288" w:rsidP="00BD5FEF">
      <w:pPr>
        <w:pStyle w:val="Bezmezer"/>
        <w:spacing w:after="120" w:line="276" w:lineRule="auto"/>
        <w:jc w:val="both"/>
        <w:rPr>
          <w:sz w:val="21"/>
          <w:szCs w:val="21"/>
        </w:rPr>
      </w:pPr>
      <w:bookmarkStart w:id="41" w:name="_Hlk76033171"/>
      <w:r w:rsidRPr="00810AF9">
        <w:rPr>
          <w:rFonts w:cstheme="minorHAnsi"/>
          <w:sz w:val="21"/>
          <w:szCs w:val="21"/>
        </w:rPr>
        <w:t xml:space="preserve">Trvalým </w:t>
      </w:r>
      <w:r w:rsidR="007C74E4" w:rsidRPr="00810AF9">
        <w:rPr>
          <w:rFonts w:cstheme="minorHAnsi"/>
          <w:sz w:val="21"/>
          <w:szCs w:val="21"/>
        </w:rPr>
        <w:t>záměrem</w:t>
      </w:r>
      <w:r w:rsidRPr="00810AF9">
        <w:rPr>
          <w:rFonts w:cstheme="minorHAnsi"/>
          <w:sz w:val="21"/>
          <w:szCs w:val="21"/>
        </w:rPr>
        <w:t xml:space="preserve"> smluvní politiky zdravotních pojišťoven je zajištění místní a časové dostupnosti hrazených zdravotních služeb</w:t>
      </w:r>
      <w:r w:rsidR="007C74E4" w:rsidRPr="00810AF9">
        <w:rPr>
          <w:rFonts w:cstheme="minorHAnsi"/>
          <w:sz w:val="21"/>
          <w:szCs w:val="21"/>
        </w:rPr>
        <w:t xml:space="preserve"> </w:t>
      </w:r>
      <w:r w:rsidR="007C74E4" w:rsidRPr="00810AF9">
        <w:rPr>
          <w:sz w:val="21"/>
          <w:szCs w:val="21"/>
        </w:rPr>
        <w:t>svým pojištěncům ve všech regionech ČR</w:t>
      </w:r>
      <w:r w:rsidRPr="00810AF9">
        <w:rPr>
          <w:rFonts w:cstheme="minorHAnsi"/>
          <w:sz w:val="21"/>
          <w:szCs w:val="21"/>
        </w:rPr>
        <w:t xml:space="preserve">. </w:t>
      </w:r>
      <w:r w:rsidR="003F6226" w:rsidRPr="00810AF9">
        <w:rPr>
          <w:rFonts w:cstheme="minorHAnsi"/>
          <w:sz w:val="21"/>
          <w:szCs w:val="21"/>
        </w:rPr>
        <w:t>V</w:t>
      </w:r>
      <w:r w:rsidR="003F6226" w:rsidRPr="00810AF9">
        <w:rPr>
          <w:sz w:val="21"/>
          <w:szCs w:val="21"/>
        </w:rPr>
        <w:t xml:space="preserve"> současné době </w:t>
      </w:r>
      <w:r w:rsidR="003F6226" w:rsidRPr="00810AF9">
        <w:rPr>
          <w:rFonts w:cstheme="minorHAnsi"/>
          <w:sz w:val="21"/>
          <w:szCs w:val="21"/>
        </w:rPr>
        <w:t>však došlo</w:t>
      </w:r>
      <w:r w:rsidRPr="00810AF9">
        <w:rPr>
          <w:rFonts w:cstheme="minorHAnsi"/>
          <w:sz w:val="21"/>
          <w:szCs w:val="21"/>
        </w:rPr>
        <w:t xml:space="preserve"> ke zhoršení zajištění místní dostupnosti hrazených zdravotních služeb u smluvních poskytovatelů primární péče (praktických lékařů pro dospělé, praktických lékařů pro děti a</w:t>
      </w:r>
      <w:r w:rsidR="006B7BB1" w:rsidRPr="00810AF9">
        <w:rPr>
          <w:rFonts w:cstheme="minorHAnsi"/>
          <w:sz w:val="21"/>
          <w:szCs w:val="21"/>
        </w:rPr>
        <w:t> </w:t>
      </w:r>
      <w:r w:rsidRPr="00810AF9">
        <w:rPr>
          <w:rFonts w:cstheme="minorHAnsi"/>
          <w:sz w:val="21"/>
          <w:szCs w:val="21"/>
        </w:rPr>
        <w:t>dorost a stomatologů) v důsledku pokračujícího stárnutí lékařů</w:t>
      </w:r>
      <w:r w:rsidR="0009137F" w:rsidRPr="00810AF9">
        <w:rPr>
          <w:rFonts w:cstheme="minorHAnsi"/>
          <w:sz w:val="21"/>
          <w:szCs w:val="21"/>
        </w:rPr>
        <w:t>,</w:t>
      </w:r>
      <w:r w:rsidRPr="00810AF9">
        <w:rPr>
          <w:rFonts w:cstheme="minorHAnsi"/>
          <w:sz w:val="21"/>
          <w:szCs w:val="21"/>
        </w:rPr>
        <w:t xml:space="preserve"> nižší atraktivity odlehlých regionů</w:t>
      </w:r>
      <w:r w:rsidR="0009137F" w:rsidRPr="00810AF9">
        <w:rPr>
          <w:rFonts w:cstheme="minorHAnsi"/>
          <w:sz w:val="21"/>
          <w:szCs w:val="21"/>
        </w:rPr>
        <w:t xml:space="preserve"> a </w:t>
      </w:r>
      <w:r w:rsidR="00DC67C3" w:rsidRPr="00810AF9">
        <w:rPr>
          <w:rFonts w:cstheme="minorHAnsi"/>
          <w:sz w:val="21"/>
          <w:szCs w:val="21"/>
        </w:rPr>
        <w:t>mírné</w:t>
      </w:r>
      <w:r w:rsidR="000B7C10">
        <w:rPr>
          <w:rFonts w:cstheme="minorHAnsi"/>
          <w:sz w:val="21"/>
          <w:szCs w:val="21"/>
        </w:rPr>
        <w:t>ho</w:t>
      </w:r>
      <w:r w:rsidR="00DC67C3" w:rsidRPr="00810AF9">
        <w:rPr>
          <w:rFonts w:cstheme="minorHAnsi"/>
          <w:sz w:val="21"/>
          <w:szCs w:val="21"/>
        </w:rPr>
        <w:t xml:space="preserve"> </w:t>
      </w:r>
      <w:r w:rsidR="0009137F" w:rsidRPr="00810AF9">
        <w:rPr>
          <w:rFonts w:cstheme="minorHAnsi"/>
          <w:sz w:val="21"/>
          <w:szCs w:val="21"/>
        </w:rPr>
        <w:t xml:space="preserve">snižování </w:t>
      </w:r>
      <w:r w:rsidR="0009137F" w:rsidRPr="00810AF9">
        <w:rPr>
          <w:sz w:val="21"/>
          <w:szCs w:val="21"/>
        </w:rPr>
        <w:t>úvazkové kapacity lékařů</w:t>
      </w:r>
      <w:r w:rsidRPr="00810AF9">
        <w:rPr>
          <w:rFonts w:cstheme="minorHAnsi"/>
          <w:sz w:val="21"/>
          <w:szCs w:val="21"/>
        </w:rPr>
        <w:t xml:space="preserve">. </w:t>
      </w:r>
      <w:r w:rsidR="007C74E4" w:rsidRPr="00810AF9">
        <w:rPr>
          <w:sz w:val="21"/>
          <w:szCs w:val="21"/>
        </w:rPr>
        <w:t>Pojišťovn</w:t>
      </w:r>
      <w:r w:rsidR="00AB60F7" w:rsidRPr="00810AF9">
        <w:rPr>
          <w:sz w:val="21"/>
          <w:szCs w:val="21"/>
        </w:rPr>
        <w:t>y</w:t>
      </w:r>
      <w:r w:rsidR="007C74E4" w:rsidRPr="00810AF9">
        <w:rPr>
          <w:sz w:val="21"/>
          <w:szCs w:val="21"/>
        </w:rPr>
        <w:t xml:space="preserve"> vním</w:t>
      </w:r>
      <w:r w:rsidR="00AB60F7" w:rsidRPr="00810AF9">
        <w:rPr>
          <w:sz w:val="21"/>
          <w:szCs w:val="21"/>
        </w:rPr>
        <w:t>ají</w:t>
      </w:r>
      <w:r w:rsidR="007C74E4" w:rsidRPr="00810AF9">
        <w:rPr>
          <w:sz w:val="21"/>
          <w:szCs w:val="21"/>
        </w:rPr>
        <w:t xml:space="preserve"> jako problematické </w:t>
      </w:r>
      <w:r w:rsidR="00AB60F7" w:rsidRPr="00810AF9">
        <w:rPr>
          <w:sz w:val="21"/>
          <w:szCs w:val="21"/>
        </w:rPr>
        <w:t xml:space="preserve">především </w:t>
      </w:r>
      <w:r w:rsidR="007C74E4" w:rsidRPr="00810AF9">
        <w:rPr>
          <w:sz w:val="21"/>
          <w:szCs w:val="21"/>
        </w:rPr>
        <w:t>zajištění stomatologické péče</w:t>
      </w:r>
      <w:r w:rsidR="003F6226" w:rsidRPr="00810AF9">
        <w:rPr>
          <w:sz w:val="21"/>
          <w:szCs w:val="21"/>
        </w:rPr>
        <w:t xml:space="preserve">, u které se </w:t>
      </w:r>
      <w:r w:rsidR="0009137F" w:rsidRPr="00810AF9">
        <w:rPr>
          <w:sz w:val="21"/>
          <w:szCs w:val="21"/>
        </w:rPr>
        <w:t xml:space="preserve">problém se </w:t>
      </w:r>
      <w:r w:rsidR="003F6226" w:rsidRPr="00810AF9">
        <w:rPr>
          <w:rFonts w:cstheme="minorHAnsi"/>
          <w:sz w:val="21"/>
          <w:szCs w:val="21"/>
        </w:rPr>
        <w:t>zajištění</w:t>
      </w:r>
      <w:r w:rsidR="0009137F" w:rsidRPr="00810AF9">
        <w:rPr>
          <w:rFonts w:cstheme="minorHAnsi"/>
          <w:sz w:val="21"/>
          <w:szCs w:val="21"/>
        </w:rPr>
        <w:t>m</w:t>
      </w:r>
      <w:r w:rsidR="003F6226" w:rsidRPr="00810AF9">
        <w:rPr>
          <w:rFonts w:cstheme="minorHAnsi"/>
          <w:sz w:val="21"/>
          <w:szCs w:val="21"/>
        </w:rPr>
        <w:t xml:space="preserve"> místní dostupnosti hrazených zdravotních služeb</w:t>
      </w:r>
      <w:r w:rsidR="0009137F" w:rsidRPr="00810AF9">
        <w:rPr>
          <w:rFonts w:cstheme="minorHAnsi"/>
          <w:sz w:val="21"/>
          <w:szCs w:val="21"/>
        </w:rPr>
        <w:t xml:space="preserve"> </w:t>
      </w:r>
      <w:r w:rsidR="0009137F" w:rsidRPr="00810AF9">
        <w:rPr>
          <w:sz w:val="21"/>
          <w:szCs w:val="21"/>
        </w:rPr>
        <w:t>vyskytuje již</w:t>
      </w:r>
      <w:r w:rsidR="007C74E4" w:rsidRPr="00810AF9">
        <w:rPr>
          <w:sz w:val="21"/>
          <w:szCs w:val="21"/>
        </w:rPr>
        <w:t xml:space="preserve"> </w:t>
      </w:r>
      <w:r w:rsidR="0009137F" w:rsidRPr="00810AF9">
        <w:rPr>
          <w:sz w:val="21"/>
          <w:szCs w:val="21"/>
        </w:rPr>
        <w:t xml:space="preserve">téměř </w:t>
      </w:r>
      <w:r w:rsidR="007C74E4" w:rsidRPr="00810AF9">
        <w:rPr>
          <w:sz w:val="21"/>
          <w:szCs w:val="21"/>
        </w:rPr>
        <w:t xml:space="preserve">ve všech </w:t>
      </w:r>
      <w:r w:rsidR="0009137F" w:rsidRPr="00810AF9">
        <w:rPr>
          <w:sz w:val="21"/>
          <w:szCs w:val="21"/>
        </w:rPr>
        <w:t>regionech</w:t>
      </w:r>
      <w:r w:rsidR="007C74E4" w:rsidRPr="00810AF9">
        <w:rPr>
          <w:sz w:val="21"/>
          <w:szCs w:val="21"/>
        </w:rPr>
        <w:t xml:space="preserve"> ČR.</w:t>
      </w:r>
      <w:r w:rsidR="00AB60F7" w:rsidRPr="00810AF9">
        <w:rPr>
          <w:sz w:val="21"/>
          <w:szCs w:val="21"/>
        </w:rPr>
        <w:t xml:space="preserve"> </w:t>
      </w:r>
    </w:p>
    <w:p w14:paraId="23ED1765" w14:textId="28BAD1ED" w:rsidR="000321A8" w:rsidRPr="00810AF9" w:rsidRDefault="001778EC" w:rsidP="00BD5FEF">
      <w:pPr>
        <w:pStyle w:val="Bezmezer"/>
        <w:spacing w:after="120" w:line="276" w:lineRule="auto"/>
        <w:jc w:val="both"/>
        <w:rPr>
          <w:rFonts w:cstheme="minorHAnsi"/>
          <w:sz w:val="21"/>
          <w:szCs w:val="21"/>
        </w:rPr>
      </w:pPr>
      <w:r w:rsidRPr="00810AF9">
        <w:rPr>
          <w:rFonts w:cstheme="minorHAnsi"/>
          <w:bCs/>
          <w:sz w:val="21"/>
          <w:szCs w:val="21"/>
        </w:rPr>
        <w:t xml:space="preserve">Zdravotní pojišťovny </w:t>
      </w:r>
      <w:r w:rsidR="00AB60F7" w:rsidRPr="00810AF9">
        <w:rPr>
          <w:rFonts w:cstheme="minorHAnsi"/>
          <w:bCs/>
          <w:sz w:val="21"/>
          <w:szCs w:val="21"/>
        </w:rPr>
        <w:t xml:space="preserve">se </w:t>
      </w:r>
      <w:r w:rsidRPr="00810AF9">
        <w:rPr>
          <w:rFonts w:cstheme="minorHAnsi"/>
          <w:bCs/>
          <w:sz w:val="21"/>
          <w:szCs w:val="21"/>
        </w:rPr>
        <w:t xml:space="preserve">u </w:t>
      </w:r>
      <w:r w:rsidRPr="00810AF9">
        <w:rPr>
          <w:rFonts w:cstheme="minorHAnsi"/>
          <w:sz w:val="21"/>
          <w:szCs w:val="21"/>
        </w:rPr>
        <w:t>poskytovatelů primární péče</w:t>
      </w:r>
      <w:r w:rsidR="00AB60F7" w:rsidRPr="00810AF9">
        <w:rPr>
          <w:rFonts w:cstheme="minorHAnsi"/>
          <w:sz w:val="21"/>
          <w:szCs w:val="21"/>
        </w:rPr>
        <w:t xml:space="preserve"> snaží</w:t>
      </w:r>
      <w:r w:rsidRPr="00810AF9">
        <w:rPr>
          <w:rFonts w:cstheme="minorHAnsi"/>
          <w:sz w:val="21"/>
          <w:szCs w:val="21"/>
        </w:rPr>
        <w:t xml:space="preserve"> aktivně podporova</w:t>
      </w:r>
      <w:r w:rsidR="00AB60F7" w:rsidRPr="00810AF9">
        <w:rPr>
          <w:rFonts w:cstheme="minorHAnsi"/>
          <w:sz w:val="21"/>
          <w:szCs w:val="21"/>
        </w:rPr>
        <w:t>t</w:t>
      </w:r>
      <w:r w:rsidRPr="00810AF9">
        <w:rPr>
          <w:rFonts w:cstheme="minorHAnsi"/>
          <w:sz w:val="21"/>
          <w:szCs w:val="21"/>
        </w:rPr>
        <w:t xml:space="preserve"> vznik nových praxí a jejich generační obměnu.</w:t>
      </w:r>
      <w:r w:rsidR="00AB60F7" w:rsidRPr="00810AF9">
        <w:rPr>
          <w:rFonts w:cstheme="minorHAnsi"/>
          <w:sz w:val="21"/>
          <w:szCs w:val="21"/>
        </w:rPr>
        <w:t xml:space="preserve"> </w:t>
      </w:r>
      <w:r w:rsidR="00782288" w:rsidRPr="00810AF9">
        <w:rPr>
          <w:rFonts w:cstheme="minorHAnsi"/>
          <w:sz w:val="21"/>
          <w:szCs w:val="21"/>
        </w:rPr>
        <w:t xml:space="preserve">V </w:t>
      </w:r>
      <w:r w:rsidRPr="00810AF9">
        <w:rPr>
          <w:rFonts w:cstheme="minorHAnsi"/>
          <w:bCs/>
          <w:sz w:val="21"/>
          <w:szCs w:val="21"/>
        </w:rPr>
        <w:t>odlehlých</w:t>
      </w:r>
      <w:r w:rsidRPr="00810AF9">
        <w:rPr>
          <w:rFonts w:cstheme="minorHAnsi"/>
          <w:sz w:val="21"/>
          <w:szCs w:val="21"/>
        </w:rPr>
        <w:t xml:space="preserve"> </w:t>
      </w:r>
      <w:r w:rsidR="00782288" w:rsidRPr="00810AF9">
        <w:rPr>
          <w:rFonts w:cstheme="minorHAnsi"/>
          <w:sz w:val="21"/>
          <w:szCs w:val="21"/>
        </w:rPr>
        <w:t xml:space="preserve">oblastech </w:t>
      </w:r>
      <w:r w:rsidR="00AB60F7" w:rsidRPr="00810AF9">
        <w:rPr>
          <w:rFonts w:cstheme="minorHAnsi"/>
          <w:sz w:val="21"/>
          <w:szCs w:val="21"/>
        </w:rPr>
        <w:t xml:space="preserve">a v oblastech </w:t>
      </w:r>
      <w:r w:rsidR="00AB60F7" w:rsidRPr="00810AF9">
        <w:rPr>
          <w:sz w:val="21"/>
          <w:szCs w:val="21"/>
        </w:rPr>
        <w:t>s</w:t>
      </w:r>
      <w:r w:rsidR="0009137F" w:rsidRPr="00810AF9">
        <w:rPr>
          <w:sz w:val="21"/>
          <w:szCs w:val="21"/>
        </w:rPr>
        <w:t>e</w:t>
      </w:r>
      <w:r w:rsidR="00AB60F7" w:rsidRPr="00810AF9">
        <w:rPr>
          <w:sz w:val="21"/>
          <w:szCs w:val="21"/>
        </w:rPr>
        <w:t xml:space="preserve"> zhoršen</w:t>
      </w:r>
      <w:r w:rsidR="0009137F" w:rsidRPr="00810AF9">
        <w:rPr>
          <w:sz w:val="21"/>
          <w:szCs w:val="21"/>
        </w:rPr>
        <w:t>ou</w:t>
      </w:r>
      <w:r w:rsidR="00AB60F7" w:rsidRPr="00810AF9">
        <w:rPr>
          <w:sz w:val="21"/>
          <w:szCs w:val="21"/>
        </w:rPr>
        <w:t xml:space="preserve"> dostupnosti zdravotních služeb </w:t>
      </w:r>
      <w:r w:rsidR="00782288" w:rsidRPr="00810AF9">
        <w:rPr>
          <w:rFonts w:cstheme="minorHAnsi"/>
          <w:sz w:val="21"/>
          <w:szCs w:val="21"/>
        </w:rPr>
        <w:t>zdravotní pojišťovny podporovaly nebo samy iniciovaly vyhlášení výběrových řízení na</w:t>
      </w:r>
      <w:r w:rsidR="006B7BB1" w:rsidRPr="00810AF9">
        <w:rPr>
          <w:rFonts w:cstheme="minorHAnsi"/>
          <w:sz w:val="21"/>
          <w:szCs w:val="21"/>
        </w:rPr>
        <w:t> </w:t>
      </w:r>
      <w:r w:rsidR="00782288" w:rsidRPr="00810AF9">
        <w:rPr>
          <w:rFonts w:cstheme="minorHAnsi"/>
          <w:sz w:val="21"/>
          <w:szCs w:val="21"/>
        </w:rPr>
        <w:t xml:space="preserve">poskytovatele zdravotních služeb. </w:t>
      </w:r>
      <w:r w:rsidR="00531441" w:rsidRPr="00810AF9">
        <w:rPr>
          <w:rFonts w:cstheme="minorHAnsi"/>
          <w:sz w:val="21"/>
          <w:szCs w:val="21"/>
        </w:rPr>
        <w:t>Dále mohou z</w:t>
      </w:r>
      <w:r w:rsidR="00531441" w:rsidRPr="00810AF9">
        <w:rPr>
          <w:rFonts w:cstheme="minorHAnsi"/>
          <w:bCs/>
          <w:sz w:val="21"/>
          <w:szCs w:val="21"/>
        </w:rPr>
        <w:t>dravotní pojišťovny motivovat lékaře k poskytování zdravotních služeb v </w:t>
      </w:r>
      <w:r w:rsidRPr="00810AF9">
        <w:rPr>
          <w:rFonts w:cstheme="minorHAnsi"/>
          <w:bCs/>
          <w:sz w:val="21"/>
          <w:szCs w:val="21"/>
        </w:rPr>
        <w:t>těchto</w:t>
      </w:r>
      <w:r w:rsidR="00531441" w:rsidRPr="00810AF9">
        <w:rPr>
          <w:rFonts w:cstheme="minorHAnsi"/>
          <w:bCs/>
          <w:sz w:val="21"/>
          <w:szCs w:val="21"/>
        </w:rPr>
        <w:t xml:space="preserve"> oblastech například navýšením úhrady</w:t>
      </w:r>
      <w:r w:rsidR="00531441" w:rsidRPr="00810AF9">
        <w:rPr>
          <w:rFonts w:cstheme="minorHAnsi"/>
          <w:sz w:val="21"/>
          <w:szCs w:val="21"/>
        </w:rPr>
        <w:t xml:space="preserve"> pro lékaře, kteří přijímají nové pacienty, příp. rozšiřují ordinační hodiny</w:t>
      </w:r>
      <w:r w:rsidR="00531441" w:rsidRPr="00810AF9">
        <w:rPr>
          <w:rFonts w:cstheme="minorHAnsi"/>
          <w:bCs/>
          <w:sz w:val="21"/>
          <w:szCs w:val="21"/>
        </w:rPr>
        <w:t>. V případě praktických lékařů dochází v odlehlých oblastech k dorovnání kapitačních plateb vzhledem k menšímu počtu registrovaných pojištěnců.</w:t>
      </w:r>
      <w:r w:rsidR="000321A8" w:rsidRPr="00810AF9">
        <w:rPr>
          <w:rFonts w:cstheme="minorHAnsi"/>
          <w:bCs/>
          <w:sz w:val="21"/>
          <w:szCs w:val="21"/>
        </w:rPr>
        <w:t xml:space="preserve"> </w:t>
      </w:r>
    </w:p>
    <w:p w14:paraId="024EA6C8" w14:textId="33888917" w:rsidR="00D74253" w:rsidRPr="00810AF9" w:rsidRDefault="001778EC" w:rsidP="00D74253">
      <w:pPr>
        <w:spacing w:line="300" w:lineRule="atLeast"/>
        <w:jc w:val="both"/>
        <w:rPr>
          <w:rFonts w:cs="Arial"/>
          <w:szCs w:val="21"/>
        </w:rPr>
      </w:pPr>
      <w:r w:rsidRPr="00810AF9">
        <w:rPr>
          <w:rFonts w:cstheme="minorHAnsi"/>
          <w:szCs w:val="21"/>
        </w:rPr>
        <w:t>V roce 202</w:t>
      </w:r>
      <w:r w:rsidR="00DC67C3" w:rsidRPr="00810AF9">
        <w:rPr>
          <w:rFonts w:cstheme="minorHAnsi"/>
          <w:szCs w:val="21"/>
        </w:rPr>
        <w:t>3</w:t>
      </w:r>
      <w:r w:rsidRPr="00810AF9">
        <w:rPr>
          <w:rFonts w:cstheme="minorHAnsi"/>
          <w:szCs w:val="21"/>
        </w:rPr>
        <w:t xml:space="preserve"> pokračovaly </w:t>
      </w:r>
      <w:r w:rsidR="009274D0" w:rsidRPr="00810AF9">
        <w:rPr>
          <w:rFonts w:cstheme="minorHAnsi"/>
          <w:szCs w:val="21"/>
        </w:rPr>
        <w:t xml:space="preserve">zdravotní </w:t>
      </w:r>
      <w:r w:rsidR="00497C97" w:rsidRPr="00810AF9">
        <w:rPr>
          <w:rFonts w:cstheme="minorHAnsi"/>
          <w:szCs w:val="21"/>
        </w:rPr>
        <w:t xml:space="preserve">pojišťovny v </w:t>
      </w:r>
      <w:r w:rsidRPr="00810AF9">
        <w:rPr>
          <w:rFonts w:cstheme="minorHAnsi"/>
          <w:szCs w:val="21"/>
        </w:rPr>
        <w:t>bonifikační</w:t>
      </w:r>
      <w:r w:rsidR="00497C97" w:rsidRPr="00810AF9">
        <w:rPr>
          <w:rFonts w:cstheme="minorHAnsi"/>
          <w:szCs w:val="21"/>
        </w:rPr>
        <w:t>ch</w:t>
      </w:r>
      <w:r w:rsidRPr="00810AF9">
        <w:rPr>
          <w:rFonts w:cstheme="minorHAnsi"/>
          <w:szCs w:val="21"/>
        </w:rPr>
        <w:t xml:space="preserve"> program</w:t>
      </w:r>
      <w:r w:rsidR="00497C97" w:rsidRPr="00810AF9">
        <w:rPr>
          <w:rFonts w:cstheme="minorHAnsi"/>
          <w:szCs w:val="21"/>
        </w:rPr>
        <w:t>ech</w:t>
      </w:r>
      <w:r w:rsidRPr="00810AF9">
        <w:rPr>
          <w:rFonts w:cstheme="minorHAnsi"/>
          <w:szCs w:val="21"/>
        </w:rPr>
        <w:t xml:space="preserve"> pro zubní lékaře. Je</w:t>
      </w:r>
      <w:r w:rsidR="00497C97" w:rsidRPr="00810AF9">
        <w:rPr>
          <w:rFonts w:cstheme="minorHAnsi"/>
          <w:szCs w:val="21"/>
        </w:rPr>
        <w:t>jich</w:t>
      </w:r>
      <w:r w:rsidRPr="00810AF9">
        <w:rPr>
          <w:rFonts w:cstheme="minorHAnsi"/>
          <w:szCs w:val="21"/>
        </w:rPr>
        <w:t xml:space="preserve"> cílem bylo zlepšit dostupnost hrazených služeb a registraci pojištěnců u zubních lékařů</w:t>
      </w:r>
      <w:r w:rsidR="00BD5FEF" w:rsidRPr="00810AF9">
        <w:rPr>
          <w:rFonts w:cstheme="minorHAnsi"/>
          <w:szCs w:val="21"/>
        </w:rPr>
        <w:t>,</w:t>
      </w:r>
      <w:r w:rsidRPr="00810AF9">
        <w:rPr>
          <w:rFonts w:cstheme="minorHAnsi"/>
          <w:szCs w:val="21"/>
        </w:rPr>
        <w:t xml:space="preserve"> a to prostřednictvím bonifikačních plateb (platby za nově registrované pojištěnce, platby za péči o registrované pojištěnce</w:t>
      </w:r>
      <w:r w:rsidR="00810AF9" w:rsidRPr="00810AF9">
        <w:rPr>
          <w:rFonts w:cstheme="minorHAnsi"/>
          <w:szCs w:val="21"/>
        </w:rPr>
        <w:t xml:space="preserve"> a</w:t>
      </w:r>
      <w:r w:rsidRPr="00810AF9">
        <w:rPr>
          <w:rFonts w:cstheme="minorHAnsi"/>
          <w:szCs w:val="21"/>
        </w:rPr>
        <w:t xml:space="preserve"> </w:t>
      </w:r>
      <w:r w:rsidR="00D74253" w:rsidRPr="00810AF9">
        <w:rPr>
          <w:rFonts w:cs="Arial"/>
          <w:szCs w:val="21"/>
        </w:rPr>
        <w:t>agregovaná platba, která garantuje poskytovateli stomatologické péče paušální měsíční úhradu ve výši 16 Kč nebo 18 Kč za každého registrovaného pojištěnce příslušné zdravotní pojišťovny</w:t>
      </w:r>
      <w:r w:rsidR="00810AF9" w:rsidRPr="00810AF9">
        <w:rPr>
          <w:rFonts w:cs="Arial"/>
          <w:szCs w:val="21"/>
        </w:rPr>
        <w:t>)</w:t>
      </w:r>
      <w:r w:rsidR="00D74253" w:rsidRPr="00810AF9">
        <w:rPr>
          <w:rFonts w:cs="Arial"/>
          <w:szCs w:val="21"/>
        </w:rPr>
        <w:t xml:space="preserve">. </w:t>
      </w:r>
    </w:p>
    <w:p w14:paraId="23F3AE74" w14:textId="2BAD615B" w:rsidR="001778EC" w:rsidRPr="009274D0" w:rsidRDefault="00D74253" w:rsidP="00BD5FEF">
      <w:pPr>
        <w:pStyle w:val="Bezmezer"/>
        <w:spacing w:after="120" w:line="276" w:lineRule="auto"/>
        <w:jc w:val="both"/>
        <w:rPr>
          <w:rFonts w:cstheme="minorHAnsi"/>
          <w:b/>
          <w:sz w:val="21"/>
          <w:szCs w:val="21"/>
        </w:rPr>
      </w:pPr>
      <w:r w:rsidRPr="00810AF9">
        <w:rPr>
          <w:sz w:val="21"/>
          <w:szCs w:val="21"/>
        </w:rPr>
        <w:t>Také p</w:t>
      </w:r>
      <w:r w:rsidR="00E74963" w:rsidRPr="00810AF9">
        <w:rPr>
          <w:sz w:val="21"/>
          <w:szCs w:val="21"/>
        </w:rPr>
        <w:t>oskytovatelé lékárenské péče ve vytipovaných lokalitách, kteří splnili kritéria schválená všemi zdravotními pojišťovnami, byli za účelem zachování dostupné lékárenské péče bonifikováni za zajištění lékárenské péče v</w:t>
      </w:r>
      <w:r w:rsidR="0067468D" w:rsidRPr="00810AF9">
        <w:rPr>
          <w:sz w:val="21"/>
          <w:szCs w:val="21"/>
        </w:rPr>
        <w:t> </w:t>
      </w:r>
      <w:r w:rsidR="00E74963" w:rsidRPr="00810AF9">
        <w:rPr>
          <w:sz w:val="21"/>
          <w:szCs w:val="21"/>
        </w:rPr>
        <w:t>nedostupných oblastech.</w:t>
      </w:r>
      <w:r w:rsidR="00E74963" w:rsidRPr="009274D0">
        <w:rPr>
          <w:sz w:val="21"/>
          <w:szCs w:val="21"/>
        </w:rPr>
        <w:t xml:space="preserve"> </w:t>
      </w:r>
    </w:p>
    <w:p w14:paraId="466A7316" w14:textId="69AE4F20" w:rsidR="002C7F1C" w:rsidRPr="009274D0" w:rsidRDefault="00782288" w:rsidP="00BD5FEF">
      <w:pPr>
        <w:spacing w:after="120" w:line="276" w:lineRule="auto"/>
        <w:jc w:val="both"/>
        <w:rPr>
          <w:rFonts w:cstheme="minorHAnsi"/>
          <w:szCs w:val="21"/>
        </w:rPr>
      </w:pPr>
      <w:r w:rsidRPr="00810AF9">
        <w:rPr>
          <w:rFonts w:cstheme="minorHAnsi"/>
          <w:szCs w:val="21"/>
        </w:rPr>
        <w:t xml:space="preserve">Ministerstvo zdravotnictví </w:t>
      </w:r>
      <w:r w:rsidR="00544479" w:rsidRPr="00810AF9">
        <w:rPr>
          <w:rFonts w:cstheme="minorHAnsi"/>
          <w:szCs w:val="21"/>
        </w:rPr>
        <w:t xml:space="preserve">pak </w:t>
      </w:r>
      <w:r w:rsidRPr="00810AF9">
        <w:rPr>
          <w:rFonts w:cstheme="minorHAnsi"/>
          <w:szCs w:val="21"/>
        </w:rPr>
        <w:t>společně s Ministerstvem školství</w:t>
      </w:r>
      <w:r w:rsidR="006E3D23" w:rsidRPr="00810AF9">
        <w:rPr>
          <w:rFonts w:cstheme="minorHAnsi"/>
          <w:szCs w:val="21"/>
        </w:rPr>
        <w:t>, mládeže a tělovýchovy</w:t>
      </w:r>
      <w:r w:rsidRPr="00810AF9">
        <w:rPr>
          <w:rFonts w:cstheme="minorHAnsi"/>
          <w:szCs w:val="21"/>
        </w:rPr>
        <w:t xml:space="preserve"> připravily </w:t>
      </w:r>
      <w:r w:rsidRPr="00810AF9">
        <w:rPr>
          <w:rFonts w:cstheme="minorHAnsi"/>
          <w:bCs/>
          <w:szCs w:val="21"/>
        </w:rPr>
        <w:t xml:space="preserve">jedenáctiletý akční plán na navýšení počtu mediků a učitelů na lékařských fakultách v letech 2019–2029. </w:t>
      </w:r>
      <w:r w:rsidR="00810AF9" w:rsidRPr="00810AF9">
        <w:rPr>
          <w:rFonts w:cstheme="minorHAnsi"/>
          <w:bCs/>
          <w:szCs w:val="21"/>
        </w:rPr>
        <w:t xml:space="preserve">V </w:t>
      </w:r>
      <w:r w:rsidR="00810AF9" w:rsidRPr="00810AF9">
        <w:rPr>
          <w:bCs/>
          <w:szCs w:val="21"/>
        </w:rPr>
        <w:t>letošním roce jsou v</w:t>
      </w:r>
      <w:r w:rsidR="000B7C10">
        <w:rPr>
          <w:bCs/>
          <w:szCs w:val="21"/>
        </w:rPr>
        <w:t> </w:t>
      </w:r>
      <w:r w:rsidR="00810AF9" w:rsidRPr="00810AF9">
        <w:rPr>
          <w:bCs/>
          <w:szCs w:val="21"/>
        </w:rPr>
        <w:t>rámci vzdělávání podpořeny zejména obory, které v České republice chybí, tedy hlavně všeobecný praktický lékař, pediatr v praktické péči, dětský psychiatr a dětský neurolog.</w:t>
      </w:r>
      <w:r w:rsidR="00810AF9" w:rsidRPr="00810AF9">
        <w:rPr>
          <w:rFonts w:cstheme="minorHAnsi"/>
          <w:bCs/>
          <w:szCs w:val="21"/>
        </w:rPr>
        <w:t xml:space="preserve"> </w:t>
      </w:r>
      <w:r w:rsidRPr="00810AF9">
        <w:rPr>
          <w:rFonts w:cstheme="minorHAnsi"/>
          <w:bCs/>
          <w:szCs w:val="21"/>
        </w:rPr>
        <w:t>K zajištění podpory poskytovatelů zdravotních služeb v odlehlých regionech</w:t>
      </w:r>
      <w:r w:rsidRPr="00810AF9">
        <w:rPr>
          <w:rFonts w:cstheme="minorHAnsi"/>
          <w:szCs w:val="21"/>
        </w:rPr>
        <w:t xml:space="preserve"> MZ </w:t>
      </w:r>
      <w:r w:rsidR="008758F3" w:rsidRPr="00810AF9">
        <w:rPr>
          <w:rFonts w:cstheme="minorHAnsi"/>
          <w:szCs w:val="21"/>
        </w:rPr>
        <w:t>pokračuje</w:t>
      </w:r>
      <w:r w:rsidR="009274D0" w:rsidRPr="00810AF9">
        <w:rPr>
          <w:rFonts w:cstheme="minorHAnsi"/>
          <w:szCs w:val="21"/>
        </w:rPr>
        <w:t xml:space="preserve"> v podpoře</w:t>
      </w:r>
      <w:r w:rsidRPr="00810AF9">
        <w:rPr>
          <w:rFonts w:cstheme="minorHAnsi"/>
          <w:bCs/>
          <w:szCs w:val="21"/>
        </w:rPr>
        <w:t xml:space="preserve"> rezidenčních</w:t>
      </w:r>
      <w:r w:rsidRPr="009274D0">
        <w:rPr>
          <w:rFonts w:cstheme="minorHAnsi"/>
          <w:bCs/>
          <w:szCs w:val="21"/>
        </w:rPr>
        <w:t xml:space="preserve"> míst</w:t>
      </w:r>
      <w:r w:rsidRPr="009274D0">
        <w:rPr>
          <w:rFonts w:cstheme="minorHAnsi"/>
          <w:szCs w:val="21"/>
        </w:rPr>
        <w:t xml:space="preserve"> (dotací pro mladé lékaře), která umožní mimo jiné zohlednit ve výši dotace i potřebnost lékařů dané specializace v regionu. </w:t>
      </w:r>
    </w:p>
    <w:p w14:paraId="4283C8B3" w14:textId="77777777" w:rsidR="00436F6E" w:rsidRPr="005262DD" w:rsidRDefault="000842A3" w:rsidP="007327D1">
      <w:pPr>
        <w:pStyle w:val="Nadpis2"/>
        <w:spacing w:before="180" w:after="180" w:line="276" w:lineRule="auto"/>
      </w:pPr>
      <w:bookmarkStart w:id="42" w:name="_Toc169176580"/>
      <w:bookmarkEnd w:id="41"/>
      <w:r w:rsidRPr="005262DD">
        <w:t>N</w:t>
      </w:r>
      <w:r w:rsidR="00436F6E" w:rsidRPr="005262DD">
        <w:t>áklady na zdravotní služby</w:t>
      </w:r>
      <w:bookmarkEnd w:id="42"/>
    </w:p>
    <w:p w14:paraId="54B74249" w14:textId="17FD58CF" w:rsidR="007036D6" w:rsidRPr="007B6C79" w:rsidRDefault="004825CC" w:rsidP="00AA64AF">
      <w:pPr>
        <w:autoSpaceDE w:val="0"/>
        <w:autoSpaceDN w:val="0"/>
        <w:adjustRightInd w:val="0"/>
        <w:spacing w:after="120" w:line="276" w:lineRule="auto"/>
        <w:jc w:val="both"/>
        <w:rPr>
          <w:rFonts w:cstheme="minorHAnsi"/>
          <w:szCs w:val="21"/>
        </w:rPr>
      </w:pPr>
      <w:r w:rsidRPr="007B6C79">
        <w:rPr>
          <w:rFonts w:eastAsia="Times New Roman" w:cstheme="minorHAnsi"/>
          <w:b/>
          <w:szCs w:val="21"/>
        </w:rPr>
        <w:t>Celkové náklady na zdravotní služby v roce 202</w:t>
      </w:r>
      <w:r w:rsidR="005262DD" w:rsidRPr="007B6C79">
        <w:rPr>
          <w:rFonts w:eastAsia="Times New Roman" w:cstheme="minorHAnsi"/>
          <w:b/>
          <w:szCs w:val="21"/>
        </w:rPr>
        <w:t>3</w:t>
      </w:r>
      <w:r w:rsidRPr="007B6C79">
        <w:rPr>
          <w:rFonts w:eastAsia="Times New Roman" w:cstheme="minorHAnsi"/>
          <w:b/>
          <w:szCs w:val="21"/>
        </w:rPr>
        <w:t xml:space="preserve"> tvořily částku 4</w:t>
      </w:r>
      <w:r w:rsidR="005262DD" w:rsidRPr="007B6C79">
        <w:rPr>
          <w:rFonts w:eastAsia="Times New Roman" w:cstheme="minorHAnsi"/>
          <w:b/>
          <w:szCs w:val="21"/>
        </w:rPr>
        <w:t>58</w:t>
      </w:r>
      <w:r w:rsidRPr="007B6C79">
        <w:rPr>
          <w:rFonts w:eastAsia="Times New Roman" w:cstheme="minorHAnsi"/>
          <w:b/>
          <w:szCs w:val="21"/>
        </w:rPr>
        <w:t>,</w:t>
      </w:r>
      <w:r w:rsidR="005262DD" w:rsidRPr="007B6C79">
        <w:rPr>
          <w:rFonts w:eastAsia="Times New Roman" w:cstheme="minorHAnsi"/>
          <w:b/>
          <w:szCs w:val="21"/>
        </w:rPr>
        <w:t>741</w:t>
      </w:r>
      <w:r w:rsidRPr="007B6C79">
        <w:rPr>
          <w:rFonts w:eastAsia="Times New Roman" w:cstheme="minorHAnsi"/>
          <w:szCs w:val="21"/>
        </w:rPr>
        <w:t xml:space="preserve"> </w:t>
      </w:r>
      <w:r w:rsidRPr="007B6C79">
        <w:rPr>
          <w:rFonts w:eastAsia="Times New Roman" w:cstheme="minorHAnsi"/>
          <w:b/>
          <w:szCs w:val="21"/>
        </w:rPr>
        <w:t>mld. Kč</w:t>
      </w:r>
      <w:r w:rsidRPr="000B7C10">
        <w:rPr>
          <w:rFonts w:cstheme="minorHAnsi"/>
          <w:szCs w:val="21"/>
        </w:rPr>
        <w:t>.</w:t>
      </w:r>
      <w:r w:rsidRPr="007B6C79">
        <w:rPr>
          <w:rFonts w:cstheme="minorHAnsi"/>
          <w:szCs w:val="21"/>
        </w:rPr>
        <w:t xml:space="preserve"> Oproti roku 202</w:t>
      </w:r>
      <w:r w:rsidR="005262DD" w:rsidRPr="007B6C79">
        <w:rPr>
          <w:rFonts w:cstheme="minorHAnsi"/>
          <w:szCs w:val="21"/>
        </w:rPr>
        <w:t>2</w:t>
      </w:r>
      <w:r w:rsidRPr="007B6C79">
        <w:rPr>
          <w:rFonts w:cstheme="minorHAnsi"/>
          <w:szCs w:val="21"/>
        </w:rPr>
        <w:t xml:space="preserve"> byly náklady na zdravotní služby vyšší o </w:t>
      </w:r>
      <w:r w:rsidR="005262DD" w:rsidRPr="007B6C79">
        <w:rPr>
          <w:rFonts w:cstheme="minorHAnsi"/>
          <w:szCs w:val="21"/>
        </w:rPr>
        <w:t>38</w:t>
      </w:r>
      <w:r w:rsidRPr="007B6C79">
        <w:rPr>
          <w:rFonts w:cstheme="minorHAnsi"/>
          <w:szCs w:val="21"/>
        </w:rPr>
        <w:t>,</w:t>
      </w:r>
      <w:r w:rsidR="005262DD" w:rsidRPr="007B6C79">
        <w:rPr>
          <w:rFonts w:cstheme="minorHAnsi"/>
          <w:szCs w:val="21"/>
        </w:rPr>
        <w:t>049</w:t>
      </w:r>
      <w:r w:rsidR="002824F9" w:rsidRPr="007B6C79">
        <w:rPr>
          <w:rFonts w:cstheme="minorHAnsi"/>
          <w:szCs w:val="21"/>
        </w:rPr>
        <w:t xml:space="preserve"> </w:t>
      </w:r>
      <w:r w:rsidRPr="007B6C79">
        <w:rPr>
          <w:rFonts w:cstheme="minorHAnsi"/>
          <w:szCs w:val="21"/>
        </w:rPr>
        <w:t>mld. Kč.</w:t>
      </w:r>
      <w:r w:rsidR="00A47F6D" w:rsidRPr="007B6C79">
        <w:rPr>
          <w:rFonts w:cstheme="minorHAnsi"/>
          <w:szCs w:val="21"/>
        </w:rPr>
        <w:t xml:space="preserve"> </w:t>
      </w:r>
      <w:r w:rsidR="007036D6" w:rsidRPr="007B6C79">
        <w:rPr>
          <w:rFonts w:cstheme="minorHAnsi"/>
          <w:szCs w:val="21"/>
        </w:rPr>
        <w:t xml:space="preserve">Z toho </w:t>
      </w:r>
      <w:r w:rsidR="007036D6" w:rsidRPr="007B6C79">
        <w:rPr>
          <w:rFonts w:cstheme="minorHAnsi"/>
          <w:b/>
          <w:bCs/>
          <w:szCs w:val="21"/>
        </w:rPr>
        <w:t>c</w:t>
      </w:r>
      <w:r w:rsidR="007036D6" w:rsidRPr="007B6C79">
        <w:rPr>
          <w:rFonts w:eastAsia="Times New Roman" w:cstheme="minorHAnsi"/>
          <w:b/>
          <w:bCs/>
          <w:szCs w:val="21"/>
        </w:rPr>
        <w:t>elkové</w:t>
      </w:r>
      <w:r w:rsidR="007036D6" w:rsidRPr="007B6C79">
        <w:rPr>
          <w:rFonts w:eastAsia="Times New Roman" w:cstheme="minorHAnsi"/>
          <w:b/>
          <w:szCs w:val="21"/>
        </w:rPr>
        <w:t xml:space="preserve"> náklady na zdravotní služby čerpané z oddílu A základního fondu zdravotního pojištění </w:t>
      </w:r>
      <w:r w:rsidR="007036D6" w:rsidRPr="000B7C10">
        <w:rPr>
          <w:rFonts w:eastAsia="Times New Roman" w:cstheme="minorHAnsi"/>
          <w:bCs/>
          <w:szCs w:val="21"/>
        </w:rPr>
        <w:t>(ZFZP)</w:t>
      </w:r>
      <w:r w:rsidR="007036D6" w:rsidRPr="007B6C79">
        <w:rPr>
          <w:rFonts w:eastAsia="Times New Roman" w:cstheme="minorHAnsi"/>
          <w:b/>
          <w:szCs w:val="21"/>
        </w:rPr>
        <w:t xml:space="preserve"> </w:t>
      </w:r>
      <w:r w:rsidR="007036D6" w:rsidRPr="007B6C79">
        <w:rPr>
          <w:rFonts w:cstheme="minorHAnsi"/>
          <w:szCs w:val="21"/>
        </w:rPr>
        <w:t>jsou uvedeny včetně dohadných položek a finančních prostředků podle § 16b zákona č. 48/1997 Sb. (vratek při překročení limitu započitatelných doplatků na léčivé přípravky a</w:t>
      </w:r>
      <w:r w:rsidR="0067468D" w:rsidRPr="007B6C79">
        <w:rPr>
          <w:rFonts w:cstheme="minorHAnsi"/>
          <w:szCs w:val="21"/>
        </w:rPr>
        <w:t> </w:t>
      </w:r>
      <w:r w:rsidR="007036D6" w:rsidRPr="007B6C79">
        <w:rPr>
          <w:rFonts w:cstheme="minorHAnsi"/>
          <w:szCs w:val="21"/>
        </w:rPr>
        <w:t>potraviny pro zvláštní lékařské účely), a představovaly nároky PZS za poskytnuté zdravotní služby v roce 20</w:t>
      </w:r>
      <w:r w:rsidR="00A1102E" w:rsidRPr="007B6C79">
        <w:rPr>
          <w:rFonts w:cstheme="minorHAnsi"/>
          <w:szCs w:val="21"/>
        </w:rPr>
        <w:t>2</w:t>
      </w:r>
      <w:r w:rsidR="005262DD" w:rsidRPr="007B6C79">
        <w:rPr>
          <w:rFonts w:cstheme="minorHAnsi"/>
          <w:szCs w:val="21"/>
        </w:rPr>
        <w:t>3</w:t>
      </w:r>
      <w:r w:rsidR="007036D6" w:rsidRPr="007B6C79">
        <w:rPr>
          <w:rFonts w:cstheme="minorHAnsi"/>
          <w:szCs w:val="21"/>
        </w:rPr>
        <w:t xml:space="preserve"> ve výši </w:t>
      </w:r>
      <w:r w:rsidR="00A01E88" w:rsidRPr="007B6C79">
        <w:rPr>
          <w:rFonts w:eastAsia="Times New Roman" w:cstheme="minorHAnsi"/>
          <w:szCs w:val="21"/>
        </w:rPr>
        <w:t>4</w:t>
      </w:r>
      <w:r w:rsidR="005262DD" w:rsidRPr="007B6C79">
        <w:rPr>
          <w:rFonts w:eastAsia="Times New Roman" w:cstheme="minorHAnsi"/>
          <w:szCs w:val="21"/>
        </w:rPr>
        <w:t>56</w:t>
      </w:r>
      <w:r w:rsidR="00A1102E" w:rsidRPr="007B6C79">
        <w:rPr>
          <w:rFonts w:eastAsia="Times New Roman" w:cstheme="minorHAnsi"/>
          <w:szCs w:val="21"/>
        </w:rPr>
        <w:t>,</w:t>
      </w:r>
      <w:r w:rsidR="005262DD" w:rsidRPr="007B6C79">
        <w:rPr>
          <w:rFonts w:eastAsia="Times New Roman" w:cstheme="minorHAnsi"/>
          <w:szCs w:val="21"/>
        </w:rPr>
        <w:t>454</w:t>
      </w:r>
      <w:r w:rsidR="007036D6" w:rsidRPr="007B6C79">
        <w:rPr>
          <w:rFonts w:eastAsia="Times New Roman" w:cstheme="minorHAnsi"/>
          <w:szCs w:val="21"/>
        </w:rPr>
        <w:t xml:space="preserve"> mld. Kč. Došlo </w:t>
      </w:r>
      <w:r w:rsidR="002824F9" w:rsidRPr="007B6C79">
        <w:rPr>
          <w:rFonts w:eastAsia="Times New Roman" w:cstheme="minorHAnsi"/>
          <w:szCs w:val="21"/>
        </w:rPr>
        <w:t xml:space="preserve">k </w:t>
      </w:r>
      <w:r w:rsidR="007036D6" w:rsidRPr="007B6C79">
        <w:rPr>
          <w:rFonts w:eastAsia="Times New Roman" w:cstheme="minorHAnsi"/>
          <w:szCs w:val="21"/>
        </w:rPr>
        <w:t>m</w:t>
      </w:r>
      <w:r w:rsidR="007036D6" w:rsidRPr="007B6C79">
        <w:rPr>
          <w:rFonts w:eastAsia="SimSun" w:cstheme="minorHAnsi"/>
          <w:szCs w:val="21"/>
        </w:rPr>
        <w:t>eziročnímu nárůstu celkových nákladů ZFZP o </w:t>
      </w:r>
      <w:r w:rsidR="005262DD" w:rsidRPr="007B6C79">
        <w:rPr>
          <w:rFonts w:eastAsia="SimSun" w:cstheme="minorHAnsi"/>
          <w:szCs w:val="21"/>
        </w:rPr>
        <w:t>38</w:t>
      </w:r>
      <w:r w:rsidR="00A1102E" w:rsidRPr="007B6C79">
        <w:rPr>
          <w:rFonts w:eastAsia="SimSun" w:cstheme="minorHAnsi"/>
          <w:szCs w:val="21"/>
        </w:rPr>
        <w:t>,</w:t>
      </w:r>
      <w:r w:rsidR="005262DD" w:rsidRPr="007B6C79">
        <w:rPr>
          <w:rFonts w:eastAsia="SimSun" w:cstheme="minorHAnsi"/>
          <w:szCs w:val="21"/>
        </w:rPr>
        <w:t>328</w:t>
      </w:r>
      <w:r w:rsidR="00A1102E" w:rsidRPr="007B6C79">
        <w:rPr>
          <w:rFonts w:eastAsia="SimSun" w:cstheme="minorHAnsi"/>
          <w:szCs w:val="21"/>
        </w:rPr>
        <w:t xml:space="preserve"> </w:t>
      </w:r>
      <w:r w:rsidR="007036D6" w:rsidRPr="007B6C79">
        <w:rPr>
          <w:rFonts w:eastAsia="SimSun" w:cstheme="minorHAnsi"/>
          <w:szCs w:val="21"/>
        </w:rPr>
        <w:t>mld. Kč, tj.</w:t>
      </w:r>
      <w:r w:rsidR="00544479" w:rsidRPr="007B6C79">
        <w:rPr>
          <w:rFonts w:eastAsia="SimSun" w:cstheme="minorHAnsi"/>
          <w:szCs w:val="21"/>
        </w:rPr>
        <w:t> </w:t>
      </w:r>
      <w:r w:rsidR="007036D6" w:rsidRPr="007B6C79">
        <w:rPr>
          <w:rFonts w:eastAsia="SimSun" w:cstheme="minorHAnsi"/>
          <w:szCs w:val="21"/>
        </w:rPr>
        <w:t>o </w:t>
      </w:r>
      <w:r w:rsidR="005262DD" w:rsidRPr="007B6C79">
        <w:rPr>
          <w:rFonts w:eastAsia="SimSun" w:cstheme="minorHAnsi"/>
          <w:szCs w:val="21"/>
        </w:rPr>
        <w:t>9</w:t>
      </w:r>
      <w:r w:rsidR="00A1102E" w:rsidRPr="007B6C79">
        <w:rPr>
          <w:rFonts w:eastAsia="SimSun" w:cstheme="minorHAnsi"/>
          <w:szCs w:val="21"/>
        </w:rPr>
        <w:t>,</w:t>
      </w:r>
      <w:r w:rsidR="005262DD" w:rsidRPr="007B6C79">
        <w:rPr>
          <w:rFonts w:eastAsia="SimSun" w:cstheme="minorHAnsi"/>
          <w:szCs w:val="21"/>
        </w:rPr>
        <w:t>2</w:t>
      </w:r>
      <w:r w:rsidR="00544479" w:rsidRPr="007B6C79">
        <w:rPr>
          <w:rFonts w:eastAsia="SimSun" w:cstheme="minorHAnsi"/>
          <w:szCs w:val="21"/>
        </w:rPr>
        <w:t> </w:t>
      </w:r>
      <w:r w:rsidR="007036D6" w:rsidRPr="007B6C79">
        <w:rPr>
          <w:rFonts w:eastAsia="SimSun" w:cstheme="minorHAnsi"/>
          <w:szCs w:val="21"/>
        </w:rPr>
        <w:t xml:space="preserve">% </w:t>
      </w:r>
      <w:r w:rsidR="007036D6" w:rsidRPr="007B6C79">
        <w:rPr>
          <w:rFonts w:cstheme="minorHAnsi"/>
          <w:szCs w:val="21"/>
        </w:rPr>
        <w:t>(</w:t>
      </w:r>
      <w:r w:rsidR="007036D6" w:rsidRPr="007B6C79">
        <w:rPr>
          <w:rFonts w:cstheme="minorHAnsi"/>
          <w:i/>
          <w:szCs w:val="21"/>
        </w:rPr>
        <w:t xml:space="preserve">Tabulka č. 8 a </w:t>
      </w:r>
      <w:r w:rsidR="00E0692A" w:rsidRPr="007B6C79">
        <w:rPr>
          <w:rFonts w:cstheme="minorHAnsi"/>
          <w:i/>
          <w:szCs w:val="21"/>
        </w:rPr>
        <w:t xml:space="preserve">č. </w:t>
      </w:r>
      <w:r w:rsidR="007036D6" w:rsidRPr="007B6C79">
        <w:rPr>
          <w:rFonts w:cstheme="minorHAnsi"/>
          <w:i/>
          <w:szCs w:val="21"/>
        </w:rPr>
        <w:t xml:space="preserve">9 </w:t>
      </w:r>
      <w:r w:rsidR="007036D6" w:rsidRPr="007B6C79">
        <w:rPr>
          <w:rFonts w:cstheme="minorHAnsi"/>
          <w:iCs/>
          <w:szCs w:val="21"/>
        </w:rPr>
        <w:t>a</w:t>
      </w:r>
      <w:r w:rsidR="007036D6" w:rsidRPr="007B6C79">
        <w:rPr>
          <w:rFonts w:cstheme="minorHAnsi"/>
          <w:i/>
          <w:szCs w:val="21"/>
        </w:rPr>
        <w:t> </w:t>
      </w:r>
      <w:r w:rsidR="00E0692A" w:rsidRPr="007B6C79">
        <w:rPr>
          <w:rFonts w:cstheme="minorHAnsi"/>
          <w:i/>
          <w:szCs w:val="21"/>
        </w:rPr>
        <w:t>Graf</w:t>
      </w:r>
      <w:r w:rsidR="00807AC4" w:rsidRPr="007B6C79">
        <w:rPr>
          <w:rFonts w:cstheme="minorHAnsi"/>
          <w:i/>
          <w:szCs w:val="21"/>
        </w:rPr>
        <w:t xml:space="preserve"> č</w:t>
      </w:r>
      <w:r w:rsidR="007036D6" w:rsidRPr="007B6C79">
        <w:rPr>
          <w:rFonts w:cstheme="minorHAnsi"/>
          <w:i/>
          <w:szCs w:val="21"/>
        </w:rPr>
        <w:t>. 13</w:t>
      </w:r>
      <w:r w:rsidR="007036D6" w:rsidRPr="007B6C79">
        <w:rPr>
          <w:rFonts w:cstheme="minorHAnsi"/>
          <w:szCs w:val="21"/>
        </w:rPr>
        <w:t>)</w:t>
      </w:r>
      <w:r w:rsidR="007036D6" w:rsidRPr="007B6C79">
        <w:rPr>
          <w:rFonts w:eastAsia="SimSun" w:cstheme="minorHAnsi"/>
          <w:szCs w:val="21"/>
        </w:rPr>
        <w:t>. Z výše uvedeného celkového nárůstu nákladů ZFZP připadalo na VZP ČR zvýšení nákladů na zdravotní služby o </w:t>
      </w:r>
      <w:r w:rsidR="00DE5B8E" w:rsidRPr="007B6C79">
        <w:rPr>
          <w:rFonts w:eastAsia="SimSun" w:cstheme="minorHAnsi"/>
          <w:szCs w:val="21"/>
        </w:rPr>
        <w:t>23,516</w:t>
      </w:r>
      <w:r w:rsidR="00FB530A" w:rsidRPr="007B6C79">
        <w:rPr>
          <w:rFonts w:eastAsia="SimSun" w:cstheme="minorHAnsi"/>
          <w:szCs w:val="21"/>
        </w:rPr>
        <w:t> </w:t>
      </w:r>
      <w:r w:rsidR="007036D6" w:rsidRPr="007B6C79">
        <w:rPr>
          <w:rFonts w:eastAsia="SimSun" w:cstheme="minorHAnsi"/>
          <w:szCs w:val="21"/>
        </w:rPr>
        <w:t>mld. Kč, u ZZP vzrostly náklady na zdravotní služby meziročně o</w:t>
      </w:r>
      <w:r w:rsidR="00544479" w:rsidRPr="007B6C79">
        <w:rPr>
          <w:rFonts w:eastAsia="SimSun" w:cstheme="minorHAnsi"/>
          <w:szCs w:val="21"/>
        </w:rPr>
        <w:t> </w:t>
      </w:r>
      <w:r w:rsidR="00DE5B8E" w:rsidRPr="007B6C79">
        <w:rPr>
          <w:rFonts w:eastAsia="SimSun" w:cstheme="minorHAnsi"/>
          <w:szCs w:val="21"/>
        </w:rPr>
        <w:t>14</w:t>
      </w:r>
      <w:r w:rsidR="003853EF" w:rsidRPr="007B6C79">
        <w:rPr>
          <w:rFonts w:eastAsia="SimSun" w:cstheme="minorHAnsi"/>
          <w:szCs w:val="21"/>
        </w:rPr>
        <w:t>,</w:t>
      </w:r>
      <w:r w:rsidR="00DE5B8E" w:rsidRPr="007B6C79">
        <w:rPr>
          <w:rFonts w:eastAsia="SimSun" w:cstheme="minorHAnsi"/>
          <w:szCs w:val="21"/>
        </w:rPr>
        <w:t>812</w:t>
      </w:r>
      <w:r w:rsidR="00544479" w:rsidRPr="007B6C79">
        <w:rPr>
          <w:rFonts w:eastAsia="SimSun" w:cstheme="minorHAnsi"/>
          <w:szCs w:val="21"/>
        </w:rPr>
        <w:t> </w:t>
      </w:r>
      <w:r w:rsidR="007036D6" w:rsidRPr="007B6C79">
        <w:rPr>
          <w:rFonts w:eastAsia="SimSun" w:cstheme="minorHAnsi"/>
          <w:szCs w:val="21"/>
        </w:rPr>
        <w:t>mld.</w:t>
      </w:r>
      <w:r w:rsidR="000B7C10">
        <w:rPr>
          <w:rFonts w:eastAsia="SimSun" w:cstheme="minorHAnsi"/>
          <w:szCs w:val="21"/>
        </w:rPr>
        <w:t xml:space="preserve"> </w:t>
      </w:r>
      <w:r w:rsidR="007036D6" w:rsidRPr="007B6C79">
        <w:rPr>
          <w:rFonts w:eastAsia="SimSun" w:cstheme="minorHAnsi"/>
          <w:szCs w:val="21"/>
        </w:rPr>
        <w:t xml:space="preserve">Kč. </w:t>
      </w:r>
      <w:r w:rsidR="0038459D" w:rsidRPr="007B6C79">
        <w:rPr>
          <w:rFonts w:eastAsia="SimSun" w:cstheme="minorHAnsi"/>
          <w:szCs w:val="21"/>
        </w:rPr>
        <w:t xml:space="preserve">Rozdíl </w:t>
      </w:r>
      <w:r w:rsidR="0038459D" w:rsidRPr="007B6C79">
        <w:rPr>
          <w:rFonts w:cstheme="minorHAnsi"/>
          <w:szCs w:val="21"/>
        </w:rPr>
        <w:t>celkových nákladů</w:t>
      </w:r>
      <w:r w:rsidR="0038459D" w:rsidRPr="007B6C79">
        <w:rPr>
          <w:rFonts w:eastAsia="SimSun" w:cstheme="minorHAnsi"/>
          <w:szCs w:val="21"/>
        </w:rPr>
        <w:t xml:space="preserve"> ZFZP</w:t>
      </w:r>
      <w:r w:rsidR="0038459D" w:rsidRPr="007B6C79">
        <w:rPr>
          <w:rFonts w:cstheme="minorHAnsi"/>
          <w:szCs w:val="21"/>
        </w:rPr>
        <w:t xml:space="preserve"> </w:t>
      </w:r>
      <w:r w:rsidR="0038459D" w:rsidRPr="007B6C79">
        <w:rPr>
          <w:rFonts w:eastAsia="SimSun" w:cstheme="minorHAnsi"/>
          <w:szCs w:val="21"/>
        </w:rPr>
        <w:t>o</w:t>
      </w:r>
      <w:r w:rsidR="007036D6" w:rsidRPr="007B6C79">
        <w:rPr>
          <w:rFonts w:cstheme="minorHAnsi"/>
          <w:szCs w:val="21"/>
        </w:rPr>
        <w:t>proti ZPP 20</w:t>
      </w:r>
      <w:r w:rsidR="008A72B3" w:rsidRPr="007B6C79">
        <w:rPr>
          <w:rFonts w:cstheme="minorHAnsi"/>
          <w:szCs w:val="21"/>
        </w:rPr>
        <w:t>2</w:t>
      </w:r>
      <w:r w:rsidR="00DE5B8E" w:rsidRPr="007B6C79">
        <w:rPr>
          <w:rFonts w:cstheme="minorHAnsi"/>
          <w:szCs w:val="21"/>
        </w:rPr>
        <w:t>3</w:t>
      </w:r>
      <w:r w:rsidR="007036D6" w:rsidRPr="007B6C79">
        <w:rPr>
          <w:rFonts w:cstheme="minorHAnsi"/>
          <w:szCs w:val="21"/>
        </w:rPr>
        <w:t xml:space="preserve"> </w:t>
      </w:r>
      <w:r w:rsidR="004512A1" w:rsidRPr="007B6C79">
        <w:rPr>
          <w:rFonts w:cstheme="minorHAnsi"/>
          <w:szCs w:val="21"/>
        </w:rPr>
        <w:t xml:space="preserve">činil </w:t>
      </w:r>
      <w:r w:rsidR="0067468D" w:rsidRPr="007B6C79">
        <w:rPr>
          <w:rFonts w:cstheme="minorHAnsi"/>
          <w:szCs w:val="21"/>
        </w:rPr>
        <w:t>−</w:t>
      </w:r>
      <w:r w:rsidR="00DE5B8E" w:rsidRPr="007B6C79">
        <w:rPr>
          <w:rFonts w:cstheme="minorHAnsi"/>
          <w:szCs w:val="21"/>
        </w:rPr>
        <w:t>1</w:t>
      </w:r>
      <w:r w:rsidR="00BC23AE" w:rsidRPr="007B6C79">
        <w:rPr>
          <w:rFonts w:cstheme="minorHAnsi"/>
          <w:szCs w:val="21"/>
        </w:rPr>
        <w:t>,</w:t>
      </w:r>
      <w:r w:rsidR="00DE5B8E" w:rsidRPr="007B6C79">
        <w:rPr>
          <w:rFonts w:cstheme="minorHAnsi"/>
          <w:szCs w:val="21"/>
        </w:rPr>
        <w:t>392</w:t>
      </w:r>
      <w:r w:rsidR="0038459D" w:rsidRPr="007B6C79">
        <w:rPr>
          <w:rFonts w:eastAsia="SimSun" w:cstheme="minorHAnsi"/>
          <w:szCs w:val="21"/>
        </w:rPr>
        <w:t> </w:t>
      </w:r>
      <w:r w:rsidR="007036D6" w:rsidRPr="007B6C79">
        <w:rPr>
          <w:rFonts w:eastAsia="SimSun" w:cstheme="minorHAnsi"/>
          <w:szCs w:val="21"/>
        </w:rPr>
        <w:t>mld.</w:t>
      </w:r>
      <w:r w:rsidR="0038459D" w:rsidRPr="007B6C79">
        <w:rPr>
          <w:rFonts w:eastAsia="SimSun" w:cstheme="minorHAnsi"/>
          <w:szCs w:val="21"/>
        </w:rPr>
        <w:t> </w:t>
      </w:r>
      <w:r w:rsidR="007036D6" w:rsidRPr="007B6C79">
        <w:rPr>
          <w:rFonts w:eastAsia="SimSun" w:cstheme="minorHAnsi"/>
          <w:szCs w:val="21"/>
        </w:rPr>
        <w:t>Kč, tj.</w:t>
      </w:r>
      <w:r w:rsidR="006B7BB1" w:rsidRPr="007B6C79">
        <w:rPr>
          <w:rFonts w:eastAsia="SimSun" w:cstheme="minorHAnsi"/>
          <w:szCs w:val="21"/>
        </w:rPr>
        <w:t> </w:t>
      </w:r>
      <w:r w:rsidR="003853EF" w:rsidRPr="007B6C79">
        <w:rPr>
          <w:rFonts w:eastAsia="SimSun" w:cstheme="minorHAnsi"/>
          <w:szCs w:val="21"/>
        </w:rPr>
        <w:t>dosáhl 9</w:t>
      </w:r>
      <w:r w:rsidR="00DE5B8E" w:rsidRPr="007B6C79">
        <w:rPr>
          <w:rFonts w:eastAsia="SimSun" w:cstheme="minorHAnsi"/>
          <w:szCs w:val="21"/>
        </w:rPr>
        <w:t>9</w:t>
      </w:r>
      <w:r w:rsidR="0067468D" w:rsidRPr="007B6C79">
        <w:rPr>
          <w:rFonts w:eastAsia="SimSun" w:cstheme="minorHAnsi"/>
          <w:szCs w:val="21"/>
        </w:rPr>
        <w:t>,</w:t>
      </w:r>
      <w:r w:rsidR="00DE5B8E" w:rsidRPr="007B6C79">
        <w:rPr>
          <w:rFonts w:eastAsia="SimSun" w:cstheme="minorHAnsi"/>
          <w:szCs w:val="21"/>
        </w:rPr>
        <w:t>7</w:t>
      </w:r>
      <w:r w:rsidR="003853EF" w:rsidRPr="007B6C79">
        <w:rPr>
          <w:rFonts w:eastAsia="SimSun" w:cstheme="minorHAnsi"/>
          <w:szCs w:val="21"/>
        </w:rPr>
        <w:t xml:space="preserve"> % plánovaných náklad</w:t>
      </w:r>
      <w:r w:rsidR="00BC23AE" w:rsidRPr="007B6C79">
        <w:rPr>
          <w:rFonts w:eastAsia="SimSun" w:cstheme="minorHAnsi"/>
          <w:szCs w:val="21"/>
        </w:rPr>
        <w:t>ů</w:t>
      </w:r>
      <w:r w:rsidR="007036D6" w:rsidRPr="007B6C79">
        <w:rPr>
          <w:rFonts w:cstheme="minorHAnsi"/>
          <w:szCs w:val="21"/>
        </w:rPr>
        <w:t>.</w:t>
      </w:r>
      <w:r w:rsidR="007036D6" w:rsidRPr="007B6C79">
        <w:rPr>
          <w:rFonts w:eastAsia="SimSun" w:cstheme="minorHAnsi"/>
          <w:szCs w:val="21"/>
        </w:rPr>
        <w:t xml:space="preserve"> </w:t>
      </w:r>
    </w:p>
    <w:p w14:paraId="1576BA65" w14:textId="73BC1376" w:rsidR="007036D6" w:rsidRPr="007B6C79" w:rsidRDefault="007036D6" w:rsidP="00544479">
      <w:pPr>
        <w:pStyle w:val="TEXT"/>
        <w:spacing w:before="0" w:after="120" w:line="276" w:lineRule="auto"/>
        <w:ind w:firstLine="0"/>
        <w:rPr>
          <w:rFonts w:asciiTheme="minorHAnsi" w:hAnsiTheme="minorHAnsi" w:cstheme="minorHAnsi"/>
          <w:sz w:val="21"/>
          <w:szCs w:val="21"/>
        </w:rPr>
      </w:pPr>
      <w:r w:rsidRPr="007B6C79">
        <w:rPr>
          <w:rFonts w:asciiTheme="minorHAnsi" w:hAnsiTheme="minorHAnsi" w:cstheme="minorHAnsi"/>
          <w:sz w:val="21"/>
          <w:szCs w:val="21"/>
        </w:rPr>
        <w:t xml:space="preserve">V objemově největším segmentu </w:t>
      </w:r>
      <w:r w:rsidRPr="007B6C79">
        <w:rPr>
          <w:rFonts w:asciiTheme="minorHAnsi" w:hAnsiTheme="minorHAnsi" w:cstheme="minorHAnsi"/>
          <w:b/>
          <w:sz w:val="21"/>
          <w:szCs w:val="21"/>
        </w:rPr>
        <w:t>lůžkové zdravotní péče</w:t>
      </w:r>
      <w:r w:rsidRPr="007B6C79">
        <w:rPr>
          <w:rFonts w:asciiTheme="minorHAnsi" w:hAnsiTheme="minorHAnsi" w:cstheme="minorHAnsi"/>
          <w:sz w:val="21"/>
          <w:szCs w:val="21"/>
        </w:rPr>
        <w:t xml:space="preserve"> byl nárůst nákladů o </w:t>
      </w:r>
      <w:r w:rsidR="00DE5B8E" w:rsidRPr="007B6C79">
        <w:rPr>
          <w:rFonts w:asciiTheme="minorHAnsi" w:hAnsiTheme="minorHAnsi" w:cstheme="minorHAnsi"/>
          <w:sz w:val="21"/>
          <w:szCs w:val="21"/>
        </w:rPr>
        <w:t>9</w:t>
      </w:r>
      <w:r w:rsidR="005A1F1F" w:rsidRPr="007B6C79">
        <w:rPr>
          <w:rFonts w:asciiTheme="minorHAnsi" w:hAnsiTheme="minorHAnsi" w:cstheme="minorHAnsi"/>
          <w:sz w:val="21"/>
          <w:szCs w:val="21"/>
        </w:rPr>
        <w:t>,</w:t>
      </w:r>
      <w:r w:rsidR="00DE5B8E" w:rsidRPr="007B6C79">
        <w:rPr>
          <w:rFonts w:asciiTheme="minorHAnsi" w:hAnsiTheme="minorHAnsi" w:cstheme="minorHAnsi"/>
          <w:sz w:val="21"/>
          <w:szCs w:val="21"/>
        </w:rPr>
        <w:t>2</w:t>
      </w:r>
      <w:r w:rsidRPr="007B6C79">
        <w:rPr>
          <w:rFonts w:asciiTheme="minorHAnsi" w:hAnsiTheme="minorHAnsi" w:cstheme="minorHAnsi"/>
          <w:sz w:val="21"/>
          <w:szCs w:val="21"/>
        </w:rPr>
        <w:t> % (tj. o </w:t>
      </w:r>
      <w:r w:rsidR="000F54D4" w:rsidRPr="007B6C79">
        <w:rPr>
          <w:rFonts w:asciiTheme="minorHAnsi" w:hAnsiTheme="minorHAnsi" w:cstheme="minorHAnsi"/>
          <w:sz w:val="21"/>
          <w:szCs w:val="21"/>
        </w:rPr>
        <w:t>21</w:t>
      </w:r>
      <w:r w:rsidR="005A1F1F" w:rsidRPr="007B6C79">
        <w:rPr>
          <w:rFonts w:asciiTheme="minorHAnsi" w:hAnsiTheme="minorHAnsi" w:cstheme="minorHAnsi"/>
          <w:sz w:val="21"/>
          <w:szCs w:val="21"/>
        </w:rPr>
        <w:t>,</w:t>
      </w:r>
      <w:r w:rsidR="000F54D4" w:rsidRPr="007B6C79">
        <w:rPr>
          <w:rFonts w:asciiTheme="minorHAnsi" w:hAnsiTheme="minorHAnsi" w:cstheme="minorHAnsi"/>
          <w:sz w:val="21"/>
          <w:szCs w:val="21"/>
        </w:rPr>
        <w:t>834</w:t>
      </w:r>
      <w:r w:rsidRPr="007B6C79">
        <w:rPr>
          <w:rFonts w:asciiTheme="minorHAnsi" w:hAnsiTheme="minorHAnsi" w:cstheme="minorHAnsi"/>
          <w:sz w:val="21"/>
          <w:szCs w:val="21"/>
        </w:rPr>
        <w:t> mld. Kč) oproti</w:t>
      </w:r>
      <w:r w:rsidR="006B7BB1" w:rsidRPr="007B6C79">
        <w:rPr>
          <w:rFonts w:asciiTheme="minorHAnsi" w:hAnsiTheme="minorHAnsi" w:cstheme="minorHAnsi"/>
          <w:sz w:val="21"/>
          <w:szCs w:val="21"/>
        </w:rPr>
        <w:t> </w:t>
      </w:r>
      <w:r w:rsidRPr="007B6C79">
        <w:rPr>
          <w:rFonts w:asciiTheme="minorHAnsi" w:hAnsiTheme="minorHAnsi" w:cstheme="minorHAnsi"/>
          <w:sz w:val="21"/>
          <w:szCs w:val="21"/>
        </w:rPr>
        <w:t>roku 20</w:t>
      </w:r>
      <w:r w:rsidR="00E81162" w:rsidRPr="007B6C79">
        <w:rPr>
          <w:rFonts w:asciiTheme="minorHAnsi" w:hAnsiTheme="minorHAnsi" w:cstheme="minorHAnsi"/>
          <w:sz w:val="21"/>
          <w:szCs w:val="21"/>
        </w:rPr>
        <w:t>2</w:t>
      </w:r>
      <w:r w:rsidR="000F54D4" w:rsidRPr="007B6C79">
        <w:rPr>
          <w:rFonts w:asciiTheme="minorHAnsi" w:hAnsiTheme="minorHAnsi" w:cstheme="minorHAnsi"/>
          <w:sz w:val="21"/>
          <w:szCs w:val="21"/>
        </w:rPr>
        <w:t>2</w:t>
      </w:r>
      <w:r w:rsidRPr="007B6C79">
        <w:rPr>
          <w:rFonts w:asciiTheme="minorHAnsi" w:hAnsiTheme="minorHAnsi" w:cstheme="minorHAnsi"/>
          <w:sz w:val="21"/>
          <w:szCs w:val="21"/>
        </w:rPr>
        <w:t>. U </w:t>
      </w:r>
      <w:r w:rsidRPr="007B6C79">
        <w:rPr>
          <w:rFonts w:asciiTheme="minorHAnsi" w:hAnsiTheme="minorHAnsi" w:cstheme="minorHAnsi"/>
          <w:b/>
          <w:sz w:val="21"/>
          <w:szCs w:val="21"/>
        </w:rPr>
        <w:t>ambulantní péče</w:t>
      </w:r>
      <w:r w:rsidRPr="007B6C79">
        <w:rPr>
          <w:rFonts w:asciiTheme="minorHAnsi" w:hAnsiTheme="minorHAnsi" w:cstheme="minorHAnsi"/>
          <w:sz w:val="21"/>
          <w:szCs w:val="21"/>
        </w:rPr>
        <w:t xml:space="preserve"> došlo k navýšení nákladů celkem o </w:t>
      </w:r>
      <w:r w:rsidR="000F54D4" w:rsidRPr="007B6C79">
        <w:rPr>
          <w:rFonts w:asciiTheme="minorHAnsi" w:hAnsiTheme="minorHAnsi" w:cstheme="minorHAnsi"/>
          <w:sz w:val="21"/>
          <w:szCs w:val="21"/>
        </w:rPr>
        <w:t>9</w:t>
      </w:r>
      <w:r w:rsidR="005A1F1F" w:rsidRPr="007B6C79">
        <w:rPr>
          <w:rFonts w:asciiTheme="minorHAnsi" w:hAnsiTheme="minorHAnsi" w:cstheme="minorHAnsi"/>
          <w:sz w:val="21"/>
          <w:szCs w:val="21"/>
        </w:rPr>
        <w:t>,</w:t>
      </w:r>
      <w:r w:rsidR="000F54D4" w:rsidRPr="007B6C79">
        <w:rPr>
          <w:rFonts w:asciiTheme="minorHAnsi" w:hAnsiTheme="minorHAnsi" w:cstheme="minorHAnsi"/>
          <w:sz w:val="21"/>
          <w:szCs w:val="21"/>
        </w:rPr>
        <w:t>4</w:t>
      </w:r>
      <w:r w:rsidRPr="007B6C79">
        <w:rPr>
          <w:rFonts w:asciiTheme="minorHAnsi" w:hAnsiTheme="minorHAnsi" w:cstheme="minorHAnsi"/>
          <w:sz w:val="21"/>
          <w:szCs w:val="21"/>
        </w:rPr>
        <w:t xml:space="preserve"> % (tj. o </w:t>
      </w:r>
      <w:r w:rsidR="000F54D4" w:rsidRPr="007B6C79">
        <w:rPr>
          <w:rFonts w:asciiTheme="minorHAnsi" w:hAnsiTheme="minorHAnsi" w:cstheme="minorHAnsi"/>
          <w:sz w:val="21"/>
          <w:szCs w:val="21"/>
        </w:rPr>
        <w:t>10</w:t>
      </w:r>
      <w:r w:rsidR="002C2A97" w:rsidRPr="007B6C79">
        <w:rPr>
          <w:rFonts w:asciiTheme="minorHAnsi" w:hAnsiTheme="minorHAnsi" w:cstheme="minorHAnsi"/>
          <w:sz w:val="21"/>
          <w:szCs w:val="21"/>
        </w:rPr>
        <w:t>,</w:t>
      </w:r>
      <w:r w:rsidR="00E14C20" w:rsidRPr="007B6C79">
        <w:rPr>
          <w:rFonts w:asciiTheme="minorHAnsi" w:hAnsiTheme="minorHAnsi" w:cstheme="minorHAnsi"/>
          <w:sz w:val="21"/>
          <w:szCs w:val="21"/>
        </w:rPr>
        <w:t>7</w:t>
      </w:r>
      <w:r w:rsidR="000F54D4" w:rsidRPr="007B6C79">
        <w:rPr>
          <w:rFonts w:asciiTheme="minorHAnsi" w:hAnsiTheme="minorHAnsi" w:cstheme="minorHAnsi"/>
          <w:sz w:val="21"/>
          <w:szCs w:val="21"/>
        </w:rPr>
        <w:t>81</w:t>
      </w:r>
      <w:r w:rsidRPr="007B6C79">
        <w:rPr>
          <w:rFonts w:asciiTheme="minorHAnsi" w:hAnsiTheme="minorHAnsi" w:cstheme="minorHAnsi"/>
          <w:sz w:val="21"/>
          <w:szCs w:val="21"/>
        </w:rPr>
        <w:t xml:space="preserve"> mld. Kč). U</w:t>
      </w:r>
      <w:r w:rsidR="005A1F1F" w:rsidRPr="007B6C79">
        <w:rPr>
          <w:rFonts w:asciiTheme="minorHAnsi" w:hAnsiTheme="minorHAnsi" w:cstheme="minorHAnsi"/>
          <w:sz w:val="21"/>
          <w:szCs w:val="21"/>
        </w:rPr>
        <w:t> </w:t>
      </w:r>
      <w:r w:rsidRPr="007B6C79">
        <w:rPr>
          <w:rFonts w:asciiTheme="minorHAnsi" w:hAnsiTheme="minorHAnsi" w:cstheme="minorHAnsi"/>
          <w:b/>
          <w:sz w:val="21"/>
          <w:szCs w:val="21"/>
        </w:rPr>
        <w:t>ostatních nákladů</w:t>
      </w:r>
      <w:r w:rsidRPr="007B6C79">
        <w:rPr>
          <w:rFonts w:asciiTheme="minorHAnsi" w:hAnsiTheme="minorHAnsi" w:cstheme="minorHAnsi"/>
          <w:sz w:val="21"/>
          <w:szCs w:val="21"/>
        </w:rPr>
        <w:t xml:space="preserve"> (náklady na lázeňskou léčebně rehabilitační péči, služby v ozdravovnách, přepravu, zdravotnickou záchrannou službu, léky vydané na recepty, zdravotnické prostředky vydané na poukazy, léčení v zahraničí, očkovací látky a finanční prostředky – vratky) došlo k navýšení celkem o </w:t>
      </w:r>
      <w:r w:rsidR="000F54D4" w:rsidRPr="007B6C79">
        <w:rPr>
          <w:rFonts w:asciiTheme="minorHAnsi" w:hAnsiTheme="minorHAnsi" w:cstheme="minorHAnsi"/>
          <w:sz w:val="21"/>
          <w:szCs w:val="21"/>
        </w:rPr>
        <w:t>8</w:t>
      </w:r>
      <w:r w:rsidR="002C2A97" w:rsidRPr="007B6C79">
        <w:rPr>
          <w:rFonts w:asciiTheme="minorHAnsi" w:hAnsiTheme="minorHAnsi" w:cstheme="minorHAnsi"/>
          <w:sz w:val="21"/>
          <w:szCs w:val="21"/>
        </w:rPr>
        <w:t>,</w:t>
      </w:r>
      <w:r w:rsidR="000F54D4" w:rsidRPr="007B6C79">
        <w:rPr>
          <w:rFonts w:asciiTheme="minorHAnsi" w:hAnsiTheme="minorHAnsi" w:cstheme="minorHAnsi"/>
          <w:sz w:val="21"/>
          <w:szCs w:val="21"/>
        </w:rPr>
        <w:t>5</w:t>
      </w:r>
      <w:r w:rsidRPr="007B6C79">
        <w:rPr>
          <w:rFonts w:asciiTheme="minorHAnsi" w:hAnsiTheme="minorHAnsi" w:cstheme="minorHAnsi"/>
          <w:sz w:val="21"/>
          <w:szCs w:val="21"/>
        </w:rPr>
        <w:t xml:space="preserve"> %, tj. o </w:t>
      </w:r>
      <w:r w:rsidR="000F54D4" w:rsidRPr="007B6C79">
        <w:rPr>
          <w:rFonts w:asciiTheme="minorHAnsi" w:hAnsiTheme="minorHAnsi" w:cstheme="minorHAnsi"/>
          <w:sz w:val="21"/>
          <w:szCs w:val="21"/>
        </w:rPr>
        <w:t>5</w:t>
      </w:r>
      <w:r w:rsidRPr="007B6C79">
        <w:rPr>
          <w:rFonts w:asciiTheme="minorHAnsi" w:hAnsiTheme="minorHAnsi" w:cstheme="minorHAnsi"/>
          <w:sz w:val="21"/>
          <w:szCs w:val="21"/>
        </w:rPr>
        <w:t>,</w:t>
      </w:r>
      <w:r w:rsidR="000F54D4" w:rsidRPr="007B6C79">
        <w:rPr>
          <w:rFonts w:asciiTheme="minorHAnsi" w:hAnsiTheme="minorHAnsi" w:cstheme="minorHAnsi"/>
          <w:sz w:val="21"/>
          <w:szCs w:val="21"/>
        </w:rPr>
        <w:t>712</w:t>
      </w:r>
      <w:r w:rsidRPr="007B6C79">
        <w:rPr>
          <w:rFonts w:asciiTheme="minorHAnsi" w:hAnsiTheme="minorHAnsi" w:cstheme="minorHAnsi"/>
          <w:sz w:val="21"/>
          <w:szCs w:val="21"/>
        </w:rPr>
        <w:t xml:space="preserve"> mld. Kč (</w:t>
      </w:r>
      <w:r w:rsidRPr="007B6C79">
        <w:rPr>
          <w:rFonts w:asciiTheme="minorHAnsi" w:hAnsiTheme="minorHAnsi" w:cstheme="minorHAnsi"/>
          <w:i/>
          <w:sz w:val="21"/>
          <w:szCs w:val="21"/>
        </w:rPr>
        <w:t>Tabulka č. 8</w:t>
      </w:r>
      <w:r w:rsidRPr="007B6C79">
        <w:rPr>
          <w:rFonts w:asciiTheme="minorHAnsi" w:hAnsiTheme="minorHAnsi" w:cstheme="minorHAnsi"/>
          <w:sz w:val="21"/>
          <w:szCs w:val="21"/>
        </w:rPr>
        <w:t xml:space="preserve"> </w:t>
      </w:r>
      <w:r w:rsidRPr="007B6C79">
        <w:rPr>
          <w:rFonts w:asciiTheme="minorHAnsi" w:hAnsiTheme="minorHAnsi" w:cstheme="minorHAnsi"/>
          <w:iCs/>
          <w:sz w:val="21"/>
          <w:szCs w:val="21"/>
        </w:rPr>
        <w:t>a</w:t>
      </w:r>
      <w:r w:rsidR="002C2A97" w:rsidRPr="007B6C79">
        <w:rPr>
          <w:rFonts w:asciiTheme="minorHAnsi" w:hAnsiTheme="minorHAnsi" w:cstheme="minorHAnsi"/>
          <w:iCs/>
          <w:sz w:val="21"/>
          <w:szCs w:val="21"/>
        </w:rPr>
        <w:t> </w:t>
      </w:r>
      <w:r w:rsidR="00E0692A" w:rsidRPr="007B6C79">
        <w:rPr>
          <w:rFonts w:asciiTheme="minorHAnsi" w:hAnsiTheme="minorHAnsi" w:cstheme="minorHAnsi"/>
          <w:i/>
          <w:iCs/>
          <w:sz w:val="21"/>
          <w:szCs w:val="21"/>
        </w:rPr>
        <w:t>č.</w:t>
      </w:r>
      <w:r w:rsidR="00F0699A" w:rsidRPr="007B6C79">
        <w:rPr>
          <w:rFonts w:asciiTheme="minorHAnsi" w:hAnsiTheme="minorHAnsi" w:cstheme="minorHAnsi"/>
          <w:i/>
          <w:iCs/>
          <w:sz w:val="21"/>
          <w:szCs w:val="21"/>
        </w:rPr>
        <w:t> </w:t>
      </w:r>
      <w:r w:rsidRPr="007B6C79">
        <w:rPr>
          <w:rFonts w:asciiTheme="minorHAnsi" w:hAnsiTheme="minorHAnsi" w:cstheme="minorHAnsi"/>
          <w:i/>
          <w:iCs/>
          <w:sz w:val="21"/>
          <w:szCs w:val="21"/>
        </w:rPr>
        <w:t>9</w:t>
      </w:r>
      <w:r w:rsidRPr="007B6C79">
        <w:rPr>
          <w:rFonts w:asciiTheme="minorHAnsi" w:hAnsiTheme="minorHAnsi" w:cstheme="minorHAnsi"/>
          <w:sz w:val="21"/>
          <w:szCs w:val="21"/>
        </w:rPr>
        <w:t xml:space="preserve"> a </w:t>
      </w:r>
      <w:r w:rsidRPr="007B6C79">
        <w:rPr>
          <w:rFonts w:asciiTheme="minorHAnsi" w:hAnsiTheme="minorHAnsi" w:cstheme="minorHAnsi"/>
          <w:i/>
          <w:sz w:val="21"/>
          <w:szCs w:val="21"/>
        </w:rPr>
        <w:t>Graf</w:t>
      </w:r>
      <w:r w:rsidR="00807AC4" w:rsidRPr="007B6C79">
        <w:rPr>
          <w:rFonts w:asciiTheme="minorHAnsi" w:hAnsiTheme="minorHAnsi" w:cstheme="minorHAnsi"/>
          <w:i/>
          <w:sz w:val="21"/>
          <w:szCs w:val="21"/>
        </w:rPr>
        <w:t xml:space="preserve"> č</w:t>
      </w:r>
      <w:r w:rsidRPr="007B6C79">
        <w:rPr>
          <w:rFonts w:asciiTheme="minorHAnsi" w:hAnsiTheme="minorHAnsi" w:cstheme="minorHAnsi"/>
          <w:i/>
          <w:sz w:val="21"/>
          <w:szCs w:val="21"/>
        </w:rPr>
        <w:t>. 14</w:t>
      </w:r>
      <w:r w:rsidRPr="007B6C79">
        <w:rPr>
          <w:rFonts w:asciiTheme="minorHAnsi" w:hAnsiTheme="minorHAnsi" w:cstheme="minorHAnsi"/>
          <w:sz w:val="21"/>
          <w:szCs w:val="21"/>
        </w:rPr>
        <w:t>).</w:t>
      </w:r>
    </w:p>
    <w:p w14:paraId="25005BDF" w14:textId="2232F33D" w:rsidR="00AA64AF" w:rsidRPr="007B6C79" w:rsidRDefault="00AA64AF" w:rsidP="00544479">
      <w:pPr>
        <w:pStyle w:val="TEXT"/>
        <w:spacing w:before="0" w:after="120" w:line="276" w:lineRule="auto"/>
        <w:ind w:firstLine="0"/>
        <w:rPr>
          <w:rFonts w:asciiTheme="minorHAnsi" w:hAnsiTheme="minorHAnsi" w:cstheme="minorHAnsi"/>
          <w:sz w:val="21"/>
          <w:szCs w:val="21"/>
        </w:rPr>
      </w:pPr>
      <w:r w:rsidRPr="007B6C79">
        <w:rPr>
          <w:rFonts w:asciiTheme="minorHAnsi" w:hAnsiTheme="minorHAnsi" w:cstheme="minorHAnsi"/>
          <w:sz w:val="21"/>
          <w:szCs w:val="21"/>
        </w:rPr>
        <w:t>Vyšší meziroční nárůst celkových nákladů oproti roku 202</w:t>
      </w:r>
      <w:r w:rsidR="000F54D4" w:rsidRPr="007B6C79">
        <w:rPr>
          <w:rFonts w:asciiTheme="minorHAnsi" w:hAnsiTheme="minorHAnsi" w:cstheme="minorHAnsi"/>
          <w:sz w:val="21"/>
          <w:szCs w:val="21"/>
        </w:rPr>
        <w:t>2</w:t>
      </w:r>
      <w:r w:rsidRPr="007B6C79">
        <w:rPr>
          <w:rFonts w:asciiTheme="minorHAnsi" w:hAnsiTheme="minorHAnsi" w:cstheme="minorHAnsi"/>
          <w:sz w:val="21"/>
          <w:szCs w:val="21"/>
        </w:rPr>
        <w:t xml:space="preserve"> byl způsoben zejména mechanismy úhrady stanovenými úhradovou vyhláškou a </w:t>
      </w:r>
      <w:r w:rsidR="00EB2F30" w:rsidRPr="007B6C79">
        <w:rPr>
          <w:rFonts w:asciiTheme="minorHAnsi" w:hAnsiTheme="minorHAnsi" w:cstheme="minorHAnsi"/>
          <w:sz w:val="21"/>
          <w:szCs w:val="21"/>
        </w:rPr>
        <w:t>pokr</w:t>
      </w:r>
      <w:r w:rsidRPr="007B6C79">
        <w:rPr>
          <w:rFonts w:asciiTheme="minorHAnsi" w:hAnsiTheme="minorHAnsi" w:cstheme="minorHAnsi"/>
          <w:sz w:val="21"/>
          <w:szCs w:val="21"/>
        </w:rPr>
        <w:t>a</w:t>
      </w:r>
      <w:r w:rsidR="000F24D5" w:rsidRPr="007B6C79">
        <w:rPr>
          <w:rFonts w:asciiTheme="minorHAnsi" w:hAnsiTheme="minorHAnsi" w:cstheme="minorHAnsi"/>
          <w:sz w:val="21"/>
          <w:szCs w:val="21"/>
        </w:rPr>
        <w:t>ču</w:t>
      </w:r>
      <w:r w:rsidRPr="007B6C79">
        <w:rPr>
          <w:rFonts w:asciiTheme="minorHAnsi" w:hAnsiTheme="minorHAnsi" w:cstheme="minorHAnsi"/>
          <w:sz w:val="21"/>
          <w:szCs w:val="21"/>
        </w:rPr>
        <w:t>jící inflací. Další faktory zvyšující dlouhodobě náklady na zdravotní služby jsou především stárnutí populace a postupný nárůst vysoce nákladných zdravotních služeb, zařazování nových a finančně velmi nákladných léčiv do hrazené péče, zavádění nových vysoce inovativních léčebných postupů a navýšení nákladů u léčivých přípravků hrazených PZS poskytujícím péči na specializovaných pracovištích (centrová péče). Náklady na rok 202</w:t>
      </w:r>
      <w:r w:rsidR="004B4138" w:rsidRPr="007B6C79">
        <w:rPr>
          <w:rFonts w:asciiTheme="minorHAnsi" w:hAnsiTheme="minorHAnsi" w:cstheme="minorHAnsi"/>
          <w:sz w:val="21"/>
          <w:szCs w:val="21"/>
        </w:rPr>
        <w:t>3</w:t>
      </w:r>
      <w:r w:rsidRPr="007B6C79">
        <w:rPr>
          <w:rFonts w:asciiTheme="minorHAnsi" w:hAnsiTheme="minorHAnsi" w:cstheme="minorHAnsi"/>
          <w:sz w:val="21"/>
          <w:szCs w:val="21"/>
        </w:rPr>
        <w:t xml:space="preserve"> byly </w:t>
      </w:r>
      <w:r w:rsidR="000F24D5" w:rsidRPr="007B6C79">
        <w:rPr>
          <w:rFonts w:asciiTheme="minorHAnsi" w:hAnsiTheme="minorHAnsi" w:cstheme="minorHAnsi"/>
          <w:sz w:val="21"/>
          <w:szCs w:val="21"/>
        </w:rPr>
        <w:t xml:space="preserve">také </w:t>
      </w:r>
      <w:r w:rsidRPr="007B6C79">
        <w:rPr>
          <w:rFonts w:asciiTheme="minorHAnsi" w:hAnsiTheme="minorHAnsi" w:cstheme="minorHAnsi"/>
          <w:sz w:val="21"/>
          <w:szCs w:val="21"/>
        </w:rPr>
        <w:t xml:space="preserve">ovlivňovány migrací ukrajinských občanů </w:t>
      </w:r>
      <w:r w:rsidR="00BA1C2B">
        <w:rPr>
          <w:rFonts w:asciiTheme="minorHAnsi" w:hAnsiTheme="minorHAnsi" w:cstheme="minorHAnsi"/>
          <w:sz w:val="21"/>
          <w:szCs w:val="21"/>
        </w:rPr>
        <w:t xml:space="preserve">způsobenou </w:t>
      </w:r>
      <w:r w:rsidR="00BA1C2B" w:rsidRPr="00BA1C2B">
        <w:rPr>
          <w:rFonts w:asciiTheme="minorHAnsi" w:hAnsiTheme="minorHAnsi" w:cstheme="minorHAnsi"/>
          <w:sz w:val="21"/>
          <w:szCs w:val="21"/>
        </w:rPr>
        <w:t>válečnou agresí Ruska</w:t>
      </w:r>
      <w:r w:rsidRPr="007B6C79">
        <w:rPr>
          <w:rFonts w:asciiTheme="minorHAnsi" w:hAnsiTheme="minorHAnsi" w:cstheme="minorHAnsi"/>
          <w:sz w:val="21"/>
          <w:szCs w:val="21"/>
        </w:rPr>
        <w:t xml:space="preserve">. </w:t>
      </w:r>
    </w:p>
    <w:p w14:paraId="2AC90F53" w14:textId="791AF7F9" w:rsidR="00916EEC" w:rsidRPr="007B6C79" w:rsidRDefault="00AA64AF" w:rsidP="00544479">
      <w:pPr>
        <w:pStyle w:val="TEXT"/>
        <w:spacing w:before="0" w:after="120" w:line="276" w:lineRule="auto"/>
        <w:ind w:firstLine="0"/>
        <w:rPr>
          <w:rFonts w:asciiTheme="minorHAnsi" w:hAnsiTheme="minorHAnsi" w:cstheme="minorHAnsi"/>
          <w:sz w:val="21"/>
          <w:szCs w:val="21"/>
        </w:rPr>
      </w:pPr>
      <w:r w:rsidRPr="007B6C79">
        <w:rPr>
          <w:rFonts w:asciiTheme="minorHAnsi" w:hAnsiTheme="minorHAnsi" w:cstheme="minorHAnsi"/>
          <w:sz w:val="21"/>
          <w:szCs w:val="21"/>
        </w:rPr>
        <w:t>Ohledně m</w:t>
      </w:r>
      <w:r w:rsidR="006C2AB6" w:rsidRPr="007B6C79">
        <w:rPr>
          <w:rFonts w:asciiTheme="minorHAnsi" w:hAnsiTheme="minorHAnsi" w:cstheme="minorHAnsi"/>
          <w:sz w:val="21"/>
          <w:szCs w:val="21"/>
        </w:rPr>
        <w:t>eziroční</w:t>
      </w:r>
      <w:r w:rsidRPr="007B6C79">
        <w:rPr>
          <w:rFonts w:asciiTheme="minorHAnsi" w:hAnsiTheme="minorHAnsi" w:cstheme="minorHAnsi"/>
          <w:sz w:val="21"/>
          <w:szCs w:val="21"/>
        </w:rPr>
        <w:t>ho</w:t>
      </w:r>
      <w:r w:rsidR="006C2AB6" w:rsidRPr="007B6C79">
        <w:rPr>
          <w:rFonts w:asciiTheme="minorHAnsi" w:hAnsiTheme="minorHAnsi" w:cstheme="minorHAnsi"/>
          <w:sz w:val="21"/>
          <w:szCs w:val="21"/>
        </w:rPr>
        <w:t xml:space="preserve"> nárůst</w:t>
      </w:r>
      <w:r w:rsidRPr="007B6C79">
        <w:rPr>
          <w:rFonts w:asciiTheme="minorHAnsi" w:hAnsiTheme="minorHAnsi" w:cstheme="minorHAnsi"/>
          <w:sz w:val="21"/>
          <w:szCs w:val="21"/>
        </w:rPr>
        <w:t>u</w:t>
      </w:r>
      <w:r w:rsidR="00303884" w:rsidRPr="007B6C79">
        <w:rPr>
          <w:rFonts w:asciiTheme="minorHAnsi" w:hAnsiTheme="minorHAnsi" w:cstheme="minorHAnsi"/>
          <w:sz w:val="21"/>
          <w:szCs w:val="21"/>
        </w:rPr>
        <w:t xml:space="preserve"> nebo pokles</w:t>
      </w:r>
      <w:r w:rsidRPr="007B6C79">
        <w:rPr>
          <w:rFonts w:asciiTheme="minorHAnsi" w:hAnsiTheme="minorHAnsi" w:cstheme="minorHAnsi"/>
          <w:sz w:val="21"/>
          <w:szCs w:val="21"/>
        </w:rPr>
        <w:t>u</w:t>
      </w:r>
      <w:r w:rsidR="006C2AB6" w:rsidRPr="007B6C79">
        <w:rPr>
          <w:rFonts w:asciiTheme="minorHAnsi" w:hAnsiTheme="minorHAnsi" w:cstheme="minorHAnsi"/>
          <w:sz w:val="21"/>
          <w:szCs w:val="21"/>
        </w:rPr>
        <w:t xml:space="preserve"> nákladů </w:t>
      </w:r>
      <w:r w:rsidR="00015477" w:rsidRPr="007B6C79">
        <w:rPr>
          <w:rFonts w:asciiTheme="minorHAnsi" w:hAnsiTheme="minorHAnsi" w:cstheme="minorHAnsi"/>
          <w:sz w:val="21"/>
          <w:szCs w:val="21"/>
        </w:rPr>
        <w:t>u jednotlivých segmentů</w:t>
      </w:r>
      <w:r w:rsidR="006C2AB6" w:rsidRPr="007B6C79">
        <w:rPr>
          <w:rFonts w:asciiTheme="minorHAnsi" w:hAnsiTheme="minorHAnsi" w:cstheme="minorHAnsi"/>
          <w:sz w:val="21"/>
          <w:szCs w:val="21"/>
        </w:rPr>
        <w:t xml:space="preserve"> </w:t>
      </w:r>
      <w:r w:rsidRPr="007B6C79">
        <w:rPr>
          <w:rFonts w:asciiTheme="minorHAnsi" w:hAnsiTheme="minorHAnsi" w:cstheme="minorHAnsi"/>
          <w:sz w:val="21"/>
          <w:szCs w:val="21"/>
        </w:rPr>
        <w:t xml:space="preserve">došlo k významnému překročení nákladů </w:t>
      </w:r>
      <w:r w:rsidR="00843B2A" w:rsidRPr="007B6C79">
        <w:rPr>
          <w:rFonts w:asciiTheme="minorHAnsi" w:hAnsiTheme="minorHAnsi" w:cstheme="minorHAnsi"/>
          <w:sz w:val="21"/>
          <w:szCs w:val="21"/>
        </w:rPr>
        <w:t>oproti roku 202</w:t>
      </w:r>
      <w:r w:rsidR="00F44594" w:rsidRPr="007B6C79">
        <w:rPr>
          <w:rFonts w:asciiTheme="minorHAnsi" w:hAnsiTheme="minorHAnsi" w:cstheme="minorHAnsi"/>
          <w:sz w:val="21"/>
          <w:szCs w:val="21"/>
        </w:rPr>
        <w:t>2</w:t>
      </w:r>
      <w:r w:rsidR="00843B2A" w:rsidRPr="007B6C79">
        <w:rPr>
          <w:rFonts w:asciiTheme="minorHAnsi" w:hAnsiTheme="minorHAnsi" w:cstheme="minorHAnsi"/>
          <w:sz w:val="21"/>
          <w:szCs w:val="21"/>
        </w:rPr>
        <w:t xml:space="preserve"> </w:t>
      </w:r>
      <w:r w:rsidR="0069605B" w:rsidRPr="007B6C79">
        <w:rPr>
          <w:rFonts w:asciiTheme="minorHAnsi" w:hAnsiTheme="minorHAnsi" w:cstheme="minorHAnsi"/>
          <w:sz w:val="21"/>
          <w:szCs w:val="21"/>
        </w:rPr>
        <w:t xml:space="preserve">v segmentu </w:t>
      </w:r>
      <w:r w:rsidR="000B1F95" w:rsidRPr="007B6C79">
        <w:rPr>
          <w:rFonts w:asciiTheme="minorHAnsi" w:hAnsiTheme="minorHAnsi" w:cstheme="minorHAnsi"/>
          <w:sz w:val="21"/>
          <w:szCs w:val="21"/>
        </w:rPr>
        <w:t>hemodialyzační péče o 17,0</w:t>
      </w:r>
      <w:r w:rsidR="007B6C79">
        <w:rPr>
          <w:rFonts w:asciiTheme="minorHAnsi" w:hAnsiTheme="minorHAnsi" w:cstheme="minorHAnsi"/>
          <w:sz w:val="21"/>
          <w:szCs w:val="21"/>
        </w:rPr>
        <w:t xml:space="preserve"> </w:t>
      </w:r>
      <w:r w:rsidR="000B1F95" w:rsidRPr="007B6C79">
        <w:rPr>
          <w:rFonts w:asciiTheme="minorHAnsi" w:hAnsiTheme="minorHAnsi" w:cstheme="minorHAnsi"/>
          <w:sz w:val="21"/>
          <w:szCs w:val="21"/>
        </w:rPr>
        <w:t>%, což bylo způsobeno nárůstem počtu pacientů</w:t>
      </w:r>
      <w:r w:rsidR="007B6C79" w:rsidRPr="007B6C79">
        <w:rPr>
          <w:rFonts w:asciiTheme="minorHAnsi" w:hAnsiTheme="minorHAnsi" w:cstheme="minorHAnsi"/>
          <w:sz w:val="21"/>
          <w:szCs w:val="21"/>
        </w:rPr>
        <w:t xml:space="preserve"> a </w:t>
      </w:r>
      <w:r w:rsidR="007B6C79" w:rsidRPr="007B6C79">
        <w:rPr>
          <w:rFonts w:asciiTheme="minorHAnsi" w:eastAsia="Calibri" w:hAnsiTheme="minorHAnsi" w:cstheme="minorHAnsi"/>
          <w:sz w:val="21"/>
          <w:szCs w:val="21"/>
        </w:rPr>
        <w:t>nárůstem výkonů automatizované peritoneální dialýzy včetně hemodiafiltrace</w:t>
      </w:r>
      <w:r w:rsidR="00843B2A" w:rsidRPr="007B6C79">
        <w:rPr>
          <w:rFonts w:asciiTheme="minorHAnsi" w:hAnsiTheme="minorHAnsi" w:cstheme="minorHAnsi"/>
          <w:sz w:val="21"/>
          <w:szCs w:val="21"/>
        </w:rPr>
        <w:t>.</w:t>
      </w:r>
      <w:r w:rsidR="00916EEC" w:rsidRPr="007B6C79">
        <w:rPr>
          <w:rFonts w:asciiTheme="minorHAnsi" w:hAnsiTheme="minorHAnsi" w:cstheme="minorHAnsi"/>
          <w:sz w:val="21"/>
          <w:szCs w:val="21"/>
        </w:rPr>
        <w:t xml:space="preserve"> </w:t>
      </w:r>
    </w:p>
    <w:p w14:paraId="4A6BE29C" w14:textId="00E6FB41" w:rsidR="00454630" w:rsidRPr="007B6C79" w:rsidRDefault="00454630" w:rsidP="00544479">
      <w:pPr>
        <w:pStyle w:val="TEXT"/>
        <w:spacing w:before="0" w:after="120" w:line="276" w:lineRule="auto"/>
        <w:ind w:firstLine="0"/>
        <w:rPr>
          <w:rFonts w:asciiTheme="minorHAnsi" w:hAnsiTheme="minorHAnsi" w:cstheme="minorHAnsi"/>
          <w:sz w:val="21"/>
          <w:szCs w:val="21"/>
        </w:rPr>
      </w:pPr>
      <w:r w:rsidRPr="007B6C79">
        <w:rPr>
          <w:rFonts w:asciiTheme="minorHAnsi" w:hAnsiTheme="minorHAnsi" w:cstheme="minorHAnsi"/>
          <w:sz w:val="21"/>
          <w:szCs w:val="21"/>
        </w:rPr>
        <w:t>Vyšší čerpání nákladů o 11,</w:t>
      </w:r>
      <w:r w:rsidR="00F44594" w:rsidRPr="007B6C79">
        <w:rPr>
          <w:rFonts w:asciiTheme="minorHAnsi" w:hAnsiTheme="minorHAnsi" w:cstheme="minorHAnsi"/>
          <w:sz w:val="21"/>
          <w:szCs w:val="21"/>
        </w:rPr>
        <w:t>8</w:t>
      </w:r>
      <w:r w:rsidRPr="007B6C79">
        <w:rPr>
          <w:rFonts w:asciiTheme="minorHAnsi" w:hAnsiTheme="minorHAnsi" w:cstheme="minorHAnsi"/>
          <w:sz w:val="21"/>
          <w:szCs w:val="21"/>
        </w:rPr>
        <w:t xml:space="preserve"> % oproti stejnému období roku 202</w:t>
      </w:r>
      <w:r w:rsidR="00F44594" w:rsidRPr="007B6C79">
        <w:rPr>
          <w:rFonts w:asciiTheme="minorHAnsi" w:hAnsiTheme="minorHAnsi" w:cstheme="minorHAnsi"/>
          <w:sz w:val="21"/>
          <w:szCs w:val="21"/>
        </w:rPr>
        <w:t>2</w:t>
      </w:r>
      <w:r w:rsidRPr="007B6C79">
        <w:rPr>
          <w:rFonts w:asciiTheme="minorHAnsi" w:hAnsiTheme="minorHAnsi" w:cstheme="minorHAnsi"/>
          <w:sz w:val="21"/>
          <w:szCs w:val="21"/>
        </w:rPr>
        <w:t xml:space="preserve"> </w:t>
      </w:r>
      <w:r w:rsidRPr="007B6C79">
        <w:rPr>
          <w:rFonts w:asciiTheme="minorHAnsi" w:eastAsia="Times New Roman" w:hAnsiTheme="minorHAnsi" w:cstheme="minorHAnsi"/>
          <w:sz w:val="21"/>
          <w:szCs w:val="21"/>
        </w:rPr>
        <w:t xml:space="preserve">na zdravotní péči v oboru </w:t>
      </w:r>
      <w:r w:rsidR="00F44594" w:rsidRPr="007B6C79">
        <w:rPr>
          <w:rFonts w:asciiTheme="minorHAnsi" w:eastAsia="Times New Roman" w:hAnsiTheme="minorHAnsi" w:cstheme="minorHAnsi"/>
          <w:sz w:val="21"/>
          <w:szCs w:val="21"/>
        </w:rPr>
        <w:t>stomatologie</w:t>
      </w:r>
      <w:r w:rsidRPr="007B6C79">
        <w:rPr>
          <w:rFonts w:asciiTheme="minorHAnsi" w:eastAsia="Times New Roman" w:hAnsiTheme="minorHAnsi" w:cstheme="minorHAnsi"/>
          <w:sz w:val="21"/>
          <w:szCs w:val="21"/>
        </w:rPr>
        <w:t xml:space="preserve"> </w:t>
      </w:r>
      <w:r w:rsidRPr="007B6C79">
        <w:rPr>
          <w:rFonts w:asciiTheme="minorHAnsi" w:hAnsiTheme="minorHAnsi" w:cstheme="minorHAnsi"/>
          <w:sz w:val="21"/>
          <w:szCs w:val="21"/>
        </w:rPr>
        <w:t xml:space="preserve">bylo způsobeno </w:t>
      </w:r>
      <w:r w:rsidR="00F44594" w:rsidRPr="007B6C79">
        <w:rPr>
          <w:rFonts w:asciiTheme="minorHAnsi" w:hAnsiTheme="minorHAnsi" w:cstheme="minorHAnsi"/>
          <w:sz w:val="21"/>
          <w:szCs w:val="21"/>
        </w:rPr>
        <w:t>zejména zvýšeným počtem preventivních prohlídek</w:t>
      </w:r>
      <w:r w:rsidR="000B1F95" w:rsidRPr="007B6C79">
        <w:rPr>
          <w:rFonts w:asciiTheme="minorHAnsi" w:hAnsiTheme="minorHAnsi" w:cstheme="minorHAnsi"/>
          <w:sz w:val="21"/>
          <w:szCs w:val="21"/>
        </w:rPr>
        <w:t xml:space="preserve"> a zvýšením úhrad za stomatologické výkony a</w:t>
      </w:r>
      <w:r w:rsidR="000B7C10">
        <w:rPr>
          <w:rFonts w:asciiTheme="minorHAnsi" w:hAnsiTheme="minorHAnsi" w:cstheme="minorHAnsi"/>
          <w:sz w:val="21"/>
          <w:szCs w:val="21"/>
        </w:rPr>
        <w:t> </w:t>
      </w:r>
      <w:r w:rsidR="000B1F95" w:rsidRPr="007B6C79">
        <w:rPr>
          <w:rFonts w:asciiTheme="minorHAnsi" w:hAnsiTheme="minorHAnsi" w:cstheme="minorHAnsi"/>
          <w:sz w:val="21"/>
          <w:szCs w:val="21"/>
        </w:rPr>
        <w:t>výrobky</w:t>
      </w:r>
      <w:r w:rsidRPr="007B6C79">
        <w:rPr>
          <w:rFonts w:asciiTheme="minorHAnsi" w:hAnsiTheme="minorHAnsi" w:cstheme="minorHAnsi"/>
          <w:sz w:val="21"/>
          <w:szCs w:val="21"/>
        </w:rPr>
        <w:t xml:space="preserve">. </w:t>
      </w:r>
    </w:p>
    <w:p w14:paraId="1B031F0B" w14:textId="63DE477E" w:rsidR="00AA64AF" w:rsidRPr="007B6C79" w:rsidRDefault="006368BE" w:rsidP="00544479">
      <w:pPr>
        <w:pStyle w:val="TEXT"/>
        <w:spacing w:before="0" w:after="120" w:line="276" w:lineRule="auto"/>
        <w:ind w:firstLine="0"/>
        <w:rPr>
          <w:rFonts w:asciiTheme="minorHAnsi" w:hAnsiTheme="minorHAnsi" w:cstheme="minorHAnsi"/>
          <w:sz w:val="21"/>
          <w:szCs w:val="21"/>
        </w:rPr>
      </w:pPr>
      <w:r w:rsidRPr="007B6C79">
        <w:rPr>
          <w:rFonts w:asciiTheme="minorHAnsi" w:hAnsiTheme="minorHAnsi" w:cstheme="minorHAnsi"/>
          <w:sz w:val="21"/>
          <w:szCs w:val="21"/>
        </w:rPr>
        <w:t>U domácí péče</w:t>
      </w:r>
      <w:r w:rsidR="00AA64AF" w:rsidRPr="007B6C79">
        <w:rPr>
          <w:rFonts w:asciiTheme="minorHAnsi" w:hAnsiTheme="minorHAnsi" w:cstheme="minorHAnsi"/>
          <w:sz w:val="21"/>
          <w:szCs w:val="21"/>
        </w:rPr>
        <w:t xml:space="preserve"> </w:t>
      </w:r>
      <w:r w:rsidRPr="007B6C79">
        <w:rPr>
          <w:rFonts w:asciiTheme="minorHAnsi" w:hAnsiTheme="minorHAnsi" w:cstheme="minorHAnsi"/>
          <w:sz w:val="21"/>
          <w:szCs w:val="21"/>
        </w:rPr>
        <w:t>jsou vyšší náklady</w:t>
      </w:r>
      <w:r w:rsidR="00AA64AF" w:rsidRPr="007B6C79">
        <w:rPr>
          <w:rFonts w:asciiTheme="minorHAnsi" w:hAnsiTheme="minorHAnsi" w:cstheme="minorHAnsi"/>
          <w:sz w:val="21"/>
          <w:szCs w:val="21"/>
        </w:rPr>
        <w:t xml:space="preserve"> </w:t>
      </w:r>
      <w:r w:rsidR="00843B2A" w:rsidRPr="007B6C79">
        <w:rPr>
          <w:rFonts w:asciiTheme="minorHAnsi" w:hAnsiTheme="minorHAnsi" w:cstheme="minorHAnsi"/>
          <w:sz w:val="21"/>
          <w:szCs w:val="21"/>
        </w:rPr>
        <w:t>o 1</w:t>
      </w:r>
      <w:r w:rsidR="00246588" w:rsidRPr="007B6C79">
        <w:rPr>
          <w:rFonts w:asciiTheme="minorHAnsi" w:hAnsiTheme="minorHAnsi" w:cstheme="minorHAnsi"/>
          <w:sz w:val="21"/>
          <w:szCs w:val="21"/>
        </w:rPr>
        <w:t>9</w:t>
      </w:r>
      <w:r w:rsidR="00843B2A" w:rsidRPr="007B6C79">
        <w:rPr>
          <w:rFonts w:asciiTheme="minorHAnsi" w:hAnsiTheme="minorHAnsi" w:cstheme="minorHAnsi"/>
          <w:sz w:val="21"/>
          <w:szCs w:val="21"/>
        </w:rPr>
        <w:t>,3</w:t>
      </w:r>
      <w:r w:rsidR="00E645C2" w:rsidRPr="007B6C79">
        <w:rPr>
          <w:rFonts w:asciiTheme="minorHAnsi" w:hAnsiTheme="minorHAnsi" w:cstheme="minorHAnsi"/>
          <w:sz w:val="21"/>
          <w:szCs w:val="21"/>
        </w:rPr>
        <w:t xml:space="preserve"> </w:t>
      </w:r>
      <w:r w:rsidR="00843B2A" w:rsidRPr="007B6C79">
        <w:rPr>
          <w:rFonts w:asciiTheme="minorHAnsi" w:hAnsiTheme="minorHAnsi" w:cstheme="minorHAnsi"/>
          <w:sz w:val="21"/>
          <w:szCs w:val="21"/>
        </w:rPr>
        <w:t xml:space="preserve">% </w:t>
      </w:r>
      <w:r w:rsidR="00AA64AF" w:rsidRPr="007B6C79">
        <w:rPr>
          <w:rFonts w:asciiTheme="minorHAnsi" w:hAnsiTheme="minorHAnsi" w:cstheme="minorHAnsi"/>
          <w:sz w:val="21"/>
          <w:szCs w:val="21"/>
        </w:rPr>
        <w:t>způsoben</w:t>
      </w:r>
      <w:r w:rsidRPr="007B6C79">
        <w:rPr>
          <w:rFonts w:asciiTheme="minorHAnsi" w:hAnsiTheme="minorHAnsi" w:cstheme="minorHAnsi"/>
          <w:sz w:val="21"/>
          <w:szCs w:val="21"/>
        </w:rPr>
        <w:t>y</w:t>
      </w:r>
      <w:r w:rsidR="00AA64AF" w:rsidRPr="007B6C79">
        <w:rPr>
          <w:rFonts w:asciiTheme="minorHAnsi" w:hAnsiTheme="minorHAnsi" w:cstheme="minorHAnsi"/>
          <w:sz w:val="21"/>
          <w:szCs w:val="21"/>
        </w:rPr>
        <w:t xml:space="preserve"> </w:t>
      </w:r>
      <w:r w:rsidRPr="007B6C79">
        <w:rPr>
          <w:rFonts w:asciiTheme="minorHAnsi" w:hAnsiTheme="minorHAnsi" w:cstheme="minorHAnsi"/>
          <w:sz w:val="21"/>
          <w:szCs w:val="21"/>
        </w:rPr>
        <w:t xml:space="preserve">zejména </w:t>
      </w:r>
      <w:r w:rsidR="003A6A28" w:rsidRPr="007B6C79">
        <w:rPr>
          <w:rFonts w:asciiTheme="minorHAnsi" w:hAnsiTheme="minorHAnsi" w:cstheme="minorHAnsi"/>
          <w:sz w:val="21"/>
          <w:szCs w:val="21"/>
        </w:rPr>
        <w:t>doplňováním smluvní sítě PZS dané odbornosti a</w:t>
      </w:r>
      <w:r w:rsidR="00F0699A" w:rsidRPr="007B6C79">
        <w:rPr>
          <w:rFonts w:asciiTheme="minorHAnsi" w:hAnsiTheme="minorHAnsi" w:cstheme="minorHAnsi"/>
          <w:sz w:val="21"/>
          <w:szCs w:val="21"/>
        </w:rPr>
        <w:t> </w:t>
      </w:r>
      <w:r w:rsidRPr="007B6C79">
        <w:rPr>
          <w:rFonts w:asciiTheme="minorHAnsi" w:hAnsiTheme="minorHAnsi" w:cstheme="minorHAnsi"/>
          <w:sz w:val="21"/>
          <w:szCs w:val="21"/>
        </w:rPr>
        <w:t xml:space="preserve">vyšším počtem </w:t>
      </w:r>
      <w:r w:rsidR="00246588" w:rsidRPr="007B6C79">
        <w:rPr>
          <w:rFonts w:asciiTheme="minorHAnsi" w:hAnsiTheme="minorHAnsi" w:cstheme="minorHAnsi"/>
          <w:sz w:val="21"/>
          <w:szCs w:val="21"/>
        </w:rPr>
        <w:t>ošetřovacích návštěv sestrou</w:t>
      </w:r>
      <w:r w:rsidRPr="007B6C79">
        <w:rPr>
          <w:rFonts w:asciiTheme="minorHAnsi" w:hAnsiTheme="minorHAnsi" w:cstheme="minorHAnsi"/>
          <w:sz w:val="21"/>
          <w:szCs w:val="21"/>
        </w:rPr>
        <w:t xml:space="preserve">. </w:t>
      </w:r>
    </w:p>
    <w:p w14:paraId="4031A62A" w14:textId="48906510" w:rsidR="007162E1" w:rsidRPr="007B6C79" w:rsidRDefault="0026676B" w:rsidP="00544479">
      <w:pPr>
        <w:pStyle w:val="TEXT"/>
        <w:spacing w:before="0" w:after="120" w:line="276" w:lineRule="auto"/>
        <w:ind w:firstLine="0"/>
        <w:rPr>
          <w:rFonts w:asciiTheme="minorHAnsi" w:hAnsiTheme="minorHAnsi" w:cstheme="minorHAnsi"/>
          <w:sz w:val="21"/>
          <w:szCs w:val="21"/>
          <w:highlight w:val="yellow"/>
        </w:rPr>
      </w:pPr>
      <w:r w:rsidRPr="007B6C79">
        <w:rPr>
          <w:rFonts w:asciiTheme="minorHAnsi" w:hAnsiTheme="minorHAnsi" w:cstheme="minorHAnsi"/>
          <w:sz w:val="21"/>
          <w:szCs w:val="21"/>
        </w:rPr>
        <w:t>U</w:t>
      </w:r>
      <w:r w:rsidR="00CB577E" w:rsidRPr="007B6C79">
        <w:rPr>
          <w:rFonts w:asciiTheme="minorHAnsi" w:hAnsiTheme="minorHAnsi" w:cstheme="minorHAnsi"/>
          <w:sz w:val="21"/>
          <w:szCs w:val="21"/>
        </w:rPr>
        <w:t xml:space="preserve"> zdravotnické záchranné služby</w:t>
      </w:r>
      <w:r w:rsidR="002C408B" w:rsidRPr="007B6C79">
        <w:rPr>
          <w:rFonts w:asciiTheme="minorHAnsi" w:hAnsiTheme="minorHAnsi" w:cstheme="minorHAnsi"/>
          <w:sz w:val="21"/>
          <w:szCs w:val="21"/>
        </w:rPr>
        <w:t xml:space="preserve"> </w:t>
      </w:r>
      <w:r w:rsidR="00CB577E" w:rsidRPr="007B6C79">
        <w:rPr>
          <w:rFonts w:asciiTheme="minorHAnsi" w:hAnsiTheme="minorHAnsi" w:cstheme="minorHAnsi"/>
          <w:sz w:val="21"/>
          <w:szCs w:val="21"/>
        </w:rPr>
        <w:t>v</w:t>
      </w:r>
      <w:r w:rsidR="007162E1" w:rsidRPr="007B6C79">
        <w:rPr>
          <w:rFonts w:asciiTheme="minorHAnsi" w:hAnsiTheme="minorHAnsi" w:cstheme="minorHAnsi"/>
          <w:sz w:val="21"/>
          <w:szCs w:val="21"/>
        </w:rPr>
        <w:t xml:space="preserve">yšší čerpání nákladů </w:t>
      </w:r>
      <w:r w:rsidR="00F0699A" w:rsidRPr="007B6C79">
        <w:rPr>
          <w:rFonts w:asciiTheme="minorHAnsi" w:hAnsiTheme="minorHAnsi" w:cstheme="minorHAnsi"/>
          <w:sz w:val="21"/>
          <w:szCs w:val="21"/>
        </w:rPr>
        <w:t xml:space="preserve">o </w:t>
      </w:r>
      <w:r w:rsidR="00CB577E" w:rsidRPr="007B6C79">
        <w:rPr>
          <w:rFonts w:asciiTheme="minorHAnsi" w:hAnsiTheme="minorHAnsi" w:cstheme="minorHAnsi"/>
          <w:sz w:val="21"/>
          <w:szCs w:val="21"/>
        </w:rPr>
        <w:t>40</w:t>
      </w:r>
      <w:r w:rsidR="00BF0F6E" w:rsidRPr="007B6C79">
        <w:rPr>
          <w:rFonts w:asciiTheme="minorHAnsi" w:hAnsiTheme="minorHAnsi" w:cstheme="minorHAnsi"/>
          <w:sz w:val="21"/>
          <w:szCs w:val="21"/>
        </w:rPr>
        <w:t>,</w:t>
      </w:r>
      <w:r w:rsidR="00CB577E" w:rsidRPr="007B6C79">
        <w:rPr>
          <w:rFonts w:asciiTheme="minorHAnsi" w:hAnsiTheme="minorHAnsi" w:cstheme="minorHAnsi"/>
          <w:sz w:val="21"/>
          <w:szCs w:val="21"/>
        </w:rPr>
        <w:t>4</w:t>
      </w:r>
      <w:r w:rsidR="00BF0F6E" w:rsidRPr="007B6C79">
        <w:rPr>
          <w:rFonts w:asciiTheme="minorHAnsi" w:hAnsiTheme="minorHAnsi" w:cstheme="minorHAnsi"/>
          <w:sz w:val="21"/>
          <w:szCs w:val="21"/>
        </w:rPr>
        <w:t xml:space="preserve"> % </w:t>
      </w:r>
      <w:r w:rsidR="007162E1" w:rsidRPr="007B6C79">
        <w:rPr>
          <w:rFonts w:asciiTheme="minorHAnsi" w:hAnsiTheme="minorHAnsi" w:cstheme="minorHAnsi"/>
          <w:sz w:val="21"/>
          <w:szCs w:val="21"/>
        </w:rPr>
        <w:t>oproti stejnému období roku 202</w:t>
      </w:r>
      <w:r w:rsidR="00CB577E" w:rsidRPr="007B6C79">
        <w:rPr>
          <w:rFonts w:asciiTheme="minorHAnsi" w:hAnsiTheme="minorHAnsi" w:cstheme="minorHAnsi"/>
          <w:sz w:val="21"/>
          <w:szCs w:val="21"/>
        </w:rPr>
        <w:t>2</w:t>
      </w:r>
      <w:r w:rsidR="007162E1" w:rsidRPr="007B6C79">
        <w:rPr>
          <w:rFonts w:asciiTheme="minorHAnsi" w:hAnsiTheme="minorHAnsi" w:cstheme="minorHAnsi"/>
          <w:sz w:val="21"/>
          <w:szCs w:val="21"/>
        </w:rPr>
        <w:t xml:space="preserve"> </w:t>
      </w:r>
      <w:r w:rsidR="00CB577E" w:rsidRPr="007B6C79">
        <w:rPr>
          <w:rFonts w:asciiTheme="minorHAnsi" w:hAnsiTheme="minorHAnsi" w:cstheme="minorHAnsi"/>
          <w:sz w:val="21"/>
          <w:szCs w:val="21"/>
        </w:rPr>
        <w:t>bylo dáno zejména navýšením úhrady v odbornosti 709 o 1 500 Kč za každou epizodu péče</w:t>
      </w:r>
      <w:r w:rsidR="0000360D" w:rsidRPr="007B6C79">
        <w:rPr>
          <w:rFonts w:asciiTheme="minorHAnsi" w:hAnsiTheme="minorHAnsi" w:cstheme="minorHAnsi"/>
          <w:sz w:val="21"/>
          <w:szCs w:val="21"/>
        </w:rPr>
        <w:t xml:space="preserve"> zahrnující</w:t>
      </w:r>
      <w:r w:rsidR="00CB577E" w:rsidRPr="007B6C79">
        <w:rPr>
          <w:rFonts w:asciiTheme="minorHAnsi" w:hAnsiTheme="minorHAnsi" w:cstheme="minorHAnsi"/>
          <w:sz w:val="21"/>
          <w:szCs w:val="21"/>
        </w:rPr>
        <w:t xml:space="preserve"> příjem tísňové výzvy a</w:t>
      </w:r>
      <w:r w:rsidR="000B7C10">
        <w:rPr>
          <w:rFonts w:asciiTheme="minorHAnsi" w:hAnsiTheme="minorHAnsi" w:cstheme="minorHAnsi"/>
          <w:sz w:val="21"/>
          <w:szCs w:val="21"/>
        </w:rPr>
        <w:t> </w:t>
      </w:r>
      <w:r w:rsidR="00CB577E" w:rsidRPr="007B6C79">
        <w:rPr>
          <w:rFonts w:asciiTheme="minorHAnsi" w:hAnsiTheme="minorHAnsi" w:cstheme="minorHAnsi"/>
          <w:sz w:val="21"/>
          <w:szCs w:val="21"/>
        </w:rPr>
        <w:t>současně výjezd ZZS</w:t>
      </w:r>
      <w:r w:rsidR="0000360D" w:rsidRPr="007B6C79">
        <w:rPr>
          <w:rFonts w:asciiTheme="minorHAnsi" w:hAnsiTheme="minorHAnsi" w:cstheme="minorHAnsi"/>
          <w:sz w:val="21"/>
          <w:szCs w:val="21"/>
        </w:rPr>
        <w:t xml:space="preserve"> a také zvýšeným počtem výjezdů</w:t>
      </w:r>
      <w:r w:rsidR="00CB577E" w:rsidRPr="007B6C79">
        <w:rPr>
          <w:rFonts w:asciiTheme="minorHAnsi" w:hAnsiTheme="minorHAnsi" w:cstheme="minorHAnsi"/>
          <w:sz w:val="21"/>
          <w:szCs w:val="21"/>
        </w:rPr>
        <w:t>.</w:t>
      </w:r>
    </w:p>
    <w:p w14:paraId="3B01E75F" w14:textId="7095153B" w:rsidR="00000876" w:rsidRPr="007B6C79" w:rsidRDefault="00000876" w:rsidP="00544479">
      <w:pPr>
        <w:pStyle w:val="TEXT"/>
        <w:spacing w:before="0" w:after="120" w:line="276" w:lineRule="auto"/>
        <w:ind w:firstLine="0"/>
        <w:rPr>
          <w:rFonts w:asciiTheme="minorHAnsi" w:hAnsiTheme="minorHAnsi" w:cstheme="minorHAnsi"/>
          <w:sz w:val="21"/>
          <w:szCs w:val="21"/>
        </w:rPr>
      </w:pPr>
      <w:r w:rsidRPr="007B6C79">
        <w:rPr>
          <w:rFonts w:asciiTheme="minorHAnsi" w:hAnsiTheme="minorHAnsi" w:cstheme="minorHAnsi"/>
          <w:sz w:val="21"/>
          <w:szCs w:val="21"/>
        </w:rPr>
        <w:t xml:space="preserve">Vyšší čerpání nákladů </w:t>
      </w:r>
      <w:r w:rsidR="00D90130" w:rsidRPr="007B6C79">
        <w:rPr>
          <w:rFonts w:asciiTheme="minorHAnsi" w:hAnsiTheme="minorHAnsi" w:cstheme="minorHAnsi"/>
          <w:sz w:val="21"/>
          <w:szCs w:val="21"/>
        </w:rPr>
        <w:t>u poskytovatelů následné a dlouhodobé lůžkové péče</w:t>
      </w:r>
      <w:r w:rsidR="002C408B" w:rsidRPr="007B6C79">
        <w:rPr>
          <w:rFonts w:asciiTheme="minorHAnsi" w:hAnsiTheme="minorHAnsi" w:cstheme="minorHAnsi"/>
          <w:sz w:val="21"/>
          <w:szCs w:val="21"/>
        </w:rPr>
        <w:t xml:space="preserve"> </w:t>
      </w:r>
      <w:r w:rsidRPr="007B6C79">
        <w:rPr>
          <w:rFonts w:asciiTheme="minorHAnsi" w:hAnsiTheme="minorHAnsi" w:cstheme="minorHAnsi"/>
          <w:sz w:val="21"/>
          <w:szCs w:val="21"/>
        </w:rPr>
        <w:t xml:space="preserve">o </w:t>
      </w:r>
      <w:r w:rsidR="00D90130" w:rsidRPr="007B6C79">
        <w:rPr>
          <w:rFonts w:asciiTheme="minorHAnsi" w:hAnsiTheme="minorHAnsi" w:cstheme="minorHAnsi"/>
          <w:sz w:val="21"/>
          <w:szCs w:val="21"/>
        </w:rPr>
        <w:t>18</w:t>
      </w:r>
      <w:r w:rsidRPr="007B6C79">
        <w:rPr>
          <w:rFonts w:asciiTheme="minorHAnsi" w:hAnsiTheme="minorHAnsi" w:cstheme="minorHAnsi"/>
          <w:sz w:val="21"/>
          <w:szCs w:val="21"/>
        </w:rPr>
        <w:t>,</w:t>
      </w:r>
      <w:r w:rsidR="00D90130" w:rsidRPr="007B6C79">
        <w:rPr>
          <w:rFonts w:asciiTheme="minorHAnsi" w:hAnsiTheme="minorHAnsi" w:cstheme="minorHAnsi"/>
          <w:sz w:val="21"/>
          <w:szCs w:val="21"/>
        </w:rPr>
        <w:t>1</w:t>
      </w:r>
      <w:r w:rsidRPr="007B6C79">
        <w:rPr>
          <w:rFonts w:asciiTheme="minorHAnsi" w:hAnsiTheme="minorHAnsi" w:cstheme="minorHAnsi"/>
          <w:sz w:val="21"/>
          <w:szCs w:val="21"/>
        </w:rPr>
        <w:t xml:space="preserve"> %</w:t>
      </w:r>
      <w:r w:rsidR="007162E1" w:rsidRPr="007B6C79">
        <w:rPr>
          <w:rFonts w:asciiTheme="minorHAnsi" w:hAnsiTheme="minorHAnsi" w:cstheme="minorHAnsi"/>
          <w:sz w:val="21"/>
          <w:szCs w:val="21"/>
        </w:rPr>
        <w:t xml:space="preserve"> bylo způsobeno </w:t>
      </w:r>
      <w:r w:rsidR="00D90130" w:rsidRPr="007B6C79">
        <w:rPr>
          <w:rFonts w:asciiTheme="minorHAnsi" w:hAnsiTheme="minorHAnsi" w:cstheme="minorHAnsi"/>
          <w:sz w:val="21"/>
          <w:szCs w:val="21"/>
        </w:rPr>
        <w:t>nárůstem objemu vykázaných bodů</w:t>
      </w:r>
      <w:r w:rsidR="00FF03CA" w:rsidRPr="007B6C79">
        <w:rPr>
          <w:rFonts w:asciiTheme="minorHAnsi" w:hAnsiTheme="minorHAnsi" w:cstheme="minorHAnsi"/>
          <w:sz w:val="21"/>
          <w:szCs w:val="21"/>
        </w:rPr>
        <w:t xml:space="preserve"> a také stárnutím pojistného kmene</w:t>
      </w:r>
      <w:r w:rsidR="007162E1" w:rsidRPr="007B6C79">
        <w:rPr>
          <w:rFonts w:asciiTheme="minorHAnsi" w:hAnsiTheme="minorHAnsi" w:cstheme="minorHAnsi"/>
          <w:sz w:val="21"/>
          <w:szCs w:val="21"/>
        </w:rPr>
        <w:t>.</w:t>
      </w:r>
    </w:p>
    <w:p w14:paraId="7FB097A6" w14:textId="1663F4F9" w:rsidR="00EC7A66" w:rsidRPr="007B6C79" w:rsidRDefault="00CE4030" w:rsidP="00544479">
      <w:pPr>
        <w:autoSpaceDE w:val="0"/>
        <w:autoSpaceDN w:val="0"/>
        <w:adjustRightInd w:val="0"/>
        <w:spacing w:after="120" w:line="276" w:lineRule="auto"/>
        <w:jc w:val="both"/>
        <w:rPr>
          <w:rFonts w:eastAsiaTheme="minorEastAsia" w:cstheme="minorHAnsi"/>
          <w:szCs w:val="21"/>
        </w:rPr>
      </w:pPr>
      <w:r w:rsidRPr="007B6C79">
        <w:rPr>
          <w:rFonts w:cstheme="minorHAnsi"/>
          <w:szCs w:val="21"/>
        </w:rPr>
        <w:t>V</w:t>
      </w:r>
      <w:r w:rsidR="00D90130" w:rsidRPr="007B6C79">
        <w:rPr>
          <w:rFonts w:cstheme="minorHAnsi"/>
          <w:szCs w:val="21"/>
        </w:rPr>
        <w:t>yšší</w:t>
      </w:r>
      <w:r w:rsidRPr="007B6C79">
        <w:rPr>
          <w:rFonts w:cstheme="minorHAnsi"/>
          <w:szCs w:val="21"/>
        </w:rPr>
        <w:t xml:space="preserve"> náklad</w:t>
      </w:r>
      <w:r w:rsidR="00D90130" w:rsidRPr="007B6C79">
        <w:rPr>
          <w:rFonts w:cstheme="minorHAnsi"/>
          <w:szCs w:val="21"/>
        </w:rPr>
        <w:t>y</w:t>
      </w:r>
      <w:r w:rsidRPr="007B6C79">
        <w:rPr>
          <w:rFonts w:cstheme="minorHAnsi"/>
          <w:szCs w:val="21"/>
        </w:rPr>
        <w:t xml:space="preserve"> </w:t>
      </w:r>
      <w:r w:rsidR="00246588" w:rsidRPr="007B6C79">
        <w:rPr>
          <w:rFonts w:cstheme="minorHAnsi"/>
          <w:szCs w:val="21"/>
        </w:rPr>
        <w:t xml:space="preserve">o 54,7 % </w:t>
      </w:r>
      <w:r w:rsidR="00D90130" w:rsidRPr="007B6C79">
        <w:rPr>
          <w:rFonts w:cstheme="minorHAnsi"/>
          <w:szCs w:val="21"/>
        </w:rPr>
        <w:t>u poskytovatelů sociálních služeb poskytujících zdravotní péči</w:t>
      </w:r>
      <w:r w:rsidRPr="007B6C79">
        <w:rPr>
          <w:rFonts w:cstheme="minorHAnsi"/>
          <w:szCs w:val="21"/>
        </w:rPr>
        <w:t xml:space="preserve"> byl</w:t>
      </w:r>
      <w:r w:rsidR="00246588" w:rsidRPr="007B6C79">
        <w:rPr>
          <w:rFonts w:cstheme="minorHAnsi"/>
          <w:szCs w:val="21"/>
        </w:rPr>
        <w:t>y</w:t>
      </w:r>
      <w:r w:rsidRPr="007B6C79">
        <w:rPr>
          <w:rFonts w:cstheme="minorHAnsi"/>
          <w:szCs w:val="21"/>
        </w:rPr>
        <w:t xml:space="preserve"> </w:t>
      </w:r>
      <w:r w:rsidR="00246588" w:rsidRPr="007B6C79">
        <w:rPr>
          <w:rFonts w:cstheme="minorHAnsi"/>
          <w:szCs w:val="21"/>
        </w:rPr>
        <w:t>způsobeny nárůstem počtu ošetřovatelských intervencí</w:t>
      </w:r>
      <w:r w:rsidRPr="007B6C79">
        <w:rPr>
          <w:rFonts w:cstheme="minorHAnsi"/>
          <w:szCs w:val="21"/>
        </w:rPr>
        <w:t>.</w:t>
      </w:r>
    </w:p>
    <w:p w14:paraId="3FB1ACCE" w14:textId="3F0ABFBA" w:rsidR="00EC7A66" w:rsidRPr="007B6C79" w:rsidRDefault="00AB0EF4" w:rsidP="00544479">
      <w:pPr>
        <w:pStyle w:val="TEXT"/>
        <w:spacing w:before="0" w:after="120" w:line="276" w:lineRule="auto"/>
        <w:ind w:firstLine="0"/>
        <w:rPr>
          <w:rFonts w:asciiTheme="minorHAnsi" w:hAnsiTheme="minorHAnsi" w:cstheme="minorHAnsi"/>
          <w:sz w:val="21"/>
          <w:szCs w:val="21"/>
        </w:rPr>
      </w:pPr>
      <w:r w:rsidRPr="007B6C79">
        <w:rPr>
          <w:rFonts w:asciiTheme="minorHAnsi" w:hAnsiTheme="minorHAnsi" w:cstheme="minorHAnsi"/>
          <w:sz w:val="21"/>
          <w:szCs w:val="21"/>
        </w:rPr>
        <w:t>O</w:t>
      </w:r>
      <w:r w:rsidR="00EC7A66" w:rsidRPr="007B6C79">
        <w:rPr>
          <w:rFonts w:asciiTheme="minorHAnsi" w:hAnsiTheme="minorHAnsi" w:cstheme="minorHAnsi"/>
          <w:sz w:val="21"/>
          <w:szCs w:val="21"/>
        </w:rPr>
        <w:t xml:space="preserve">čkovací látky </w:t>
      </w:r>
      <w:r w:rsidRPr="007B6C79">
        <w:rPr>
          <w:rFonts w:asciiTheme="minorHAnsi" w:hAnsiTheme="minorHAnsi" w:cstheme="minorHAnsi"/>
          <w:sz w:val="21"/>
          <w:szCs w:val="21"/>
        </w:rPr>
        <w:t xml:space="preserve">dosáhly nižšího čerpání nákladů o </w:t>
      </w:r>
      <w:r w:rsidR="00781CBF" w:rsidRPr="007B6C79">
        <w:rPr>
          <w:rFonts w:asciiTheme="minorHAnsi" w:hAnsiTheme="minorHAnsi" w:cstheme="minorHAnsi"/>
          <w:sz w:val="21"/>
          <w:szCs w:val="21"/>
        </w:rPr>
        <w:t>60</w:t>
      </w:r>
      <w:r w:rsidRPr="007B6C79">
        <w:rPr>
          <w:rFonts w:asciiTheme="minorHAnsi" w:hAnsiTheme="minorHAnsi" w:cstheme="minorHAnsi"/>
          <w:sz w:val="21"/>
          <w:szCs w:val="21"/>
        </w:rPr>
        <w:t xml:space="preserve">,9 %, díky </w:t>
      </w:r>
      <w:r w:rsidR="00EC7A66" w:rsidRPr="007B6C79">
        <w:rPr>
          <w:rFonts w:asciiTheme="minorHAnsi" w:hAnsiTheme="minorHAnsi" w:cstheme="minorHAnsi"/>
          <w:sz w:val="21"/>
          <w:szCs w:val="21"/>
        </w:rPr>
        <w:t>nižší</w:t>
      </w:r>
      <w:r w:rsidRPr="007B6C79">
        <w:rPr>
          <w:rFonts w:asciiTheme="minorHAnsi" w:hAnsiTheme="minorHAnsi" w:cstheme="minorHAnsi"/>
          <w:sz w:val="21"/>
          <w:szCs w:val="21"/>
        </w:rPr>
        <w:t xml:space="preserve">mu </w:t>
      </w:r>
      <w:r w:rsidR="00EC7A66" w:rsidRPr="007B6C79">
        <w:rPr>
          <w:rFonts w:asciiTheme="minorHAnsi" w:hAnsiTheme="minorHAnsi" w:cstheme="minorHAnsi"/>
          <w:sz w:val="21"/>
          <w:szCs w:val="21"/>
        </w:rPr>
        <w:t xml:space="preserve">čerpání oproti </w:t>
      </w:r>
      <w:r w:rsidRPr="007B6C79">
        <w:rPr>
          <w:rFonts w:asciiTheme="minorHAnsi" w:hAnsiTheme="minorHAnsi" w:cstheme="minorHAnsi"/>
          <w:sz w:val="21"/>
          <w:szCs w:val="21"/>
        </w:rPr>
        <w:t>roku</w:t>
      </w:r>
      <w:r w:rsidR="00EC7A66" w:rsidRPr="007B6C79">
        <w:rPr>
          <w:rFonts w:asciiTheme="minorHAnsi" w:hAnsiTheme="minorHAnsi" w:cstheme="minorHAnsi"/>
          <w:sz w:val="21"/>
          <w:szCs w:val="21"/>
        </w:rPr>
        <w:t xml:space="preserve"> 202</w:t>
      </w:r>
      <w:r w:rsidR="00781CBF" w:rsidRPr="007B6C79">
        <w:rPr>
          <w:rFonts w:asciiTheme="minorHAnsi" w:hAnsiTheme="minorHAnsi" w:cstheme="minorHAnsi"/>
          <w:sz w:val="21"/>
          <w:szCs w:val="21"/>
        </w:rPr>
        <w:t>2</w:t>
      </w:r>
      <w:r w:rsidRPr="007B6C79">
        <w:rPr>
          <w:rFonts w:asciiTheme="minorHAnsi" w:hAnsiTheme="minorHAnsi" w:cstheme="minorHAnsi"/>
          <w:sz w:val="21"/>
          <w:szCs w:val="21"/>
        </w:rPr>
        <w:t>, které</w:t>
      </w:r>
      <w:r w:rsidR="00EC7A66" w:rsidRPr="007B6C79">
        <w:rPr>
          <w:rFonts w:asciiTheme="minorHAnsi" w:hAnsiTheme="minorHAnsi" w:cstheme="minorHAnsi"/>
          <w:sz w:val="21"/>
          <w:szCs w:val="21"/>
        </w:rPr>
        <w:t xml:space="preserve"> bylo způsobeno menším počtem očkovaných pojištěnců proti onemocnění </w:t>
      </w:r>
      <w:r w:rsidR="00F0699A" w:rsidRPr="007B6C79">
        <w:rPr>
          <w:rFonts w:asciiTheme="minorHAnsi" w:hAnsiTheme="minorHAnsi" w:cstheme="minorHAnsi"/>
          <w:sz w:val="21"/>
          <w:szCs w:val="21"/>
        </w:rPr>
        <w:t>COVID</w:t>
      </w:r>
      <w:r w:rsidR="00EC7A66" w:rsidRPr="007B6C79">
        <w:rPr>
          <w:rFonts w:asciiTheme="minorHAnsi" w:hAnsiTheme="minorHAnsi" w:cstheme="minorHAnsi"/>
          <w:sz w:val="21"/>
          <w:szCs w:val="21"/>
        </w:rPr>
        <w:t xml:space="preserve">-19, než bylo plánováno. </w:t>
      </w:r>
    </w:p>
    <w:p w14:paraId="06D9804C" w14:textId="53189D32" w:rsidR="007036D6" w:rsidRPr="007B6C79" w:rsidRDefault="007036D6" w:rsidP="00544479">
      <w:pPr>
        <w:pStyle w:val="TEXT"/>
        <w:spacing w:before="0" w:after="120" w:line="276" w:lineRule="auto"/>
        <w:ind w:firstLine="0"/>
        <w:rPr>
          <w:rFonts w:asciiTheme="minorHAnsi" w:hAnsiTheme="minorHAnsi" w:cstheme="minorHAnsi"/>
          <w:sz w:val="21"/>
          <w:szCs w:val="21"/>
        </w:rPr>
      </w:pPr>
      <w:r w:rsidRPr="007B6C79">
        <w:rPr>
          <w:rFonts w:asciiTheme="minorHAnsi" w:hAnsiTheme="minorHAnsi" w:cstheme="minorHAnsi"/>
          <w:sz w:val="21"/>
          <w:szCs w:val="21"/>
        </w:rPr>
        <w:t>Souhrnné hodnocení vývoje nákladů jednotlivých ZP včetně dohadných položek a jejich porovnání s rokem 20</w:t>
      </w:r>
      <w:r w:rsidR="0011269D" w:rsidRPr="007B6C79">
        <w:rPr>
          <w:rFonts w:asciiTheme="minorHAnsi" w:hAnsiTheme="minorHAnsi" w:cstheme="minorHAnsi"/>
          <w:sz w:val="21"/>
          <w:szCs w:val="21"/>
        </w:rPr>
        <w:t>2</w:t>
      </w:r>
      <w:r w:rsidR="003C4B89" w:rsidRPr="007B6C79">
        <w:rPr>
          <w:rFonts w:asciiTheme="minorHAnsi" w:hAnsiTheme="minorHAnsi" w:cstheme="minorHAnsi"/>
          <w:sz w:val="21"/>
          <w:szCs w:val="21"/>
        </w:rPr>
        <w:t>2</w:t>
      </w:r>
      <w:r w:rsidRPr="007B6C79">
        <w:rPr>
          <w:rFonts w:asciiTheme="minorHAnsi" w:hAnsiTheme="minorHAnsi" w:cstheme="minorHAnsi"/>
          <w:sz w:val="21"/>
          <w:szCs w:val="21"/>
        </w:rPr>
        <w:t xml:space="preserve"> a</w:t>
      </w:r>
      <w:r w:rsidR="006B7BB1" w:rsidRPr="007B6C79">
        <w:rPr>
          <w:rFonts w:asciiTheme="minorHAnsi" w:hAnsiTheme="minorHAnsi" w:cstheme="minorHAnsi"/>
          <w:sz w:val="21"/>
          <w:szCs w:val="21"/>
        </w:rPr>
        <w:t> </w:t>
      </w:r>
      <w:r w:rsidRPr="007B6C79">
        <w:rPr>
          <w:rFonts w:asciiTheme="minorHAnsi" w:hAnsiTheme="minorHAnsi" w:cstheme="minorHAnsi"/>
          <w:sz w:val="21"/>
          <w:szCs w:val="21"/>
        </w:rPr>
        <w:t>ZPP 20</w:t>
      </w:r>
      <w:r w:rsidR="00002B28" w:rsidRPr="007B6C79">
        <w:rPr>
          <w:rFonts w:asciiTheme="minorHAnsi" w:hAnsiTheme="minorHAnsi" w:cstheme="minorHAnsi"/>
          <w:sz w:val="21"/>
          <w:szCs w:val="21"/>
        </w:rPr>
        <w:t>2</w:t>
      </w:r>
      <w:r w:rsidR="003C4B89" w:rsidRPr="007B6C79">
        <w:rPr>
          <w:rFonts w:asciiTheme="minorHAnsi" w:hAnsiTheme="minorHAnsi" w:cstheme="minorHAnsi"/>
          <w:sz w:val="21"/>
          <w:szCs w:val="21"/>
        </w:rPr>
        <w:t>3</w:t>
      </w:r>
      <w:r w:rsidRPr="007B6C79">
        <w:rPr>
          <w:rFonts w:asciiTheme="minorHAnsi" w:hAnsiTheme="minorHAnsi" w:cstheme="minorHAnsi"/>
          <w:sz w:val="21"/>
          <w:szCs w:val="21"/>
        </w:rPr>
        <w:t xml:space="preserve"> poskytuje tabulková příloha </w:t>
      </w:r>
      <w:r w:rsidRPr="007B6C79">
        <w:rPr>
          <w:rFonts w:asciiTheme="minorHAnsi" w:hAnsiTheme="minorHAnsi" w:cstheme="minorHAnsi"/>
          <w:i/>
          <w:sz w:val="21"/>
          <w:szCs w:val="21"/>
        </w:rPr>
        <w:t>Tabulka č. 3, 3a, 3b</w:t>
      </w:r>
      <w:r w:rsidRPr="007B6C79">
        <w:rPr>
          <w:rFonts w:asciiTheme="minorHAnsi" w:hAnsiTheme="minorHAnsi" w:cstheme="minorHAnsi"/>
          <w:sz w:val="21"/>
          <w:szCs w:val="21"/>
        </w:rPr>
        <w:t xml:space="preserve"> a</w:t>
      </w:r>
      <w:r w:rsidRPr="007B6C79">
        <w:rPr>
          <w:rFonts w:asciiTheme="minorHAnsi" w:hAnsiTheme="minorHAnsi" w:cstheme="minorHAnsi"/>
          <w:i/>
          <w:sz w:val="21"/>
          <w:szCs w:val="21"/>
        </w:rPr>
        <w:t xml:space="preserve"> 3c</w:t>
      </w:r>
      <w:r w:rsidRPr="007B6C79">
        <w:rPr>
          <w:rFonts w:asciiTheme="minorHAnsi" w:hAnsiTheme="minorHAnsi" w:cstheme="minorHAnsi"/>
          <w:sz w:val="21"/>
          <w:szCs w:val="21"/>
        </w:rPr>
        <w:t xml:space="preserve">. </w:t>
      </w:r>
    </w:p>
    <w:p w14:paraId="611BA1A6" w14:textId="0E80D3A6" w:rsidR="007036D6" w:rsidRPr="007905CE" w:rsidRDefault="007036D6" w:rsidP="0021299E">
      <w:pPr>
        <w:pStyle w:val="Titulek"/>
        <w:jc w:val="both"/>
      </w:pPr>
      <w:bookmarkStart w:id="43" w:name="_Toc168993233"/>
      <w:r w:rsidRPr="007905CE">
        <w:t xml:space="preserve">Tabulka č. </w:t>
      </w:r>
      <w:r w:rsidRPr="007905CE">
        <w:rPr>
          <w:noProof/>
        </w:rPr>
        <w:fldChar w:fldCharType="begin"/>
      </w:r>
      <w:r w:rsidRPr="007905CE">
        <w:rPr>
          <w:noProof/>
        </w:rPr>
        <w:instrText xml:space="preserve"> SEQ Tabulka \* ARABIC </w:instrText>
      </w:r>
      <w:r w:rsidRPr="007905CE">
        <w:rPr>
          <w:noProof/>
        </w:rPr>
        <w:fldChar w:fldCharType="separate"/>
      </w:r>
      <w:r w:rsidR="00904274">
        <w:rPr>
          <w:noProof/>
        </w:rPr>
        <w:t>8</w:t>
      </w:r>
      <w:r w:rsidRPr="007905CE">
        <w:rPr>
          <w:noProof/>
        </w:rPr>
        <w:fldChar w:fldCharType="end"/>
      </w:r>
      <w:r w:rsidRPr="007905CE">
        <w:t>: Náklady na zdravotní služby ze ZFZP podle segmentů</w:t>
      </w:r>
      <w:bookmarkEnd w:id="43"/>
      <w:r w:rsidRPr="007905CE">
        <w:t xml:space="preserve"> </w:t>
      </w:r>
    </w:p>
    <w:tbl>
      <w:tblPr>
        <w:tblW w:w="9080" w:type="dxa"/>
        <w:tblCellMar>
          <w:left w:w="70" w:type="dxa"/>
          <w:right w:w="70" w:type="dxa"/>
        </w:tblCellMar>
        <w:tblLook w:val="04A0" w:firstRow="1" w:lastRow="0" w:firstColumn="1" w:lastColumn="0" w:noHBand="0" w:noVBand="1"/>
      </w:tblPr>
      <w:tblGrid>
        <w:gridCol w:w="2080"/>
        <w:gridCol w:w="1000"/>
        <w:gridCol w:w="1000"/>
        <w:gridCol w:w="1000"/>
        <w:gridCol w:w="1000"/>
        <w:gridCol w:w="1000"/>
        <w:gridCol w:w="1000"/>
        <w:gridCol w:w="1000"/>
      </w:tblGrid>
      <w:tr w:rsidR="003A2470" w:rsidRPr="007905CE" w14:paraId="1B258CFD" w14:textId="77777777" w:rsidTr="003A2470">
        <w:trPr>
          <w:trHeight w:val="600"/>
        </w:trPr>
        <w:tc>
          <w:tcPr>
            <w:tcW w:w="2080" w:type="dxa"/>
            <w:tcBorders>
              <w:top w:val="single" w:sz="8" w:space="0" w:color="4F81BD"/>
              <w:left w:val="single" w:sz="8" w:space="0" w:color="4F81BD"/>
              <w:bottom w:val="nil"/>
              <w:right w:val="nil"/>
            </w:tcBorders>
            <w:shd w:val="clear" w:color="000000" w:fill="4F81BD"/>
            <w:hideMark/>
          </w:tcPr>
          <w:p w14:paraId="4EEDF9AD" w14:textId="77777777" w:rsidR="003A2470" w:rsidRPr="007905CE" w:rsidRDefault="003A2470" w:rsidP="003A2470">
            <w:pPr>
              <w:spacing w:after="0" w:line="240" w:lineRule="auto"/>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Ukazatel</w:t>
            </w:r>
            <w:r w:rsidRPr="007905CE">
              <w:rPr>
                <w:rFonts w:ascii="Calibri" w:eastAsia="Times New Roman" w:hAnsi="Calibri" w:cs="Calibri"/>
                <w:b/>
                <w:bCs/>
                <w:color w:val="FFFFFF"/>
                <w:szCs w:val="21"/>
                <w:lang w:eastAsia="cs-CZ"/>
              </w:rPr>
              <w:br/>
            </w:r>
            <w:r w:rsidRPr="007905CE">
              <w:rPr>
                <w:rFonts w:ascii="Calibri" w:eastAsia="Times New Roman" w:hAnsi="Calibri" w:cs="Calibri"/>
                <w:color w:val="FFFFFF"/>
                <w:szCs w:val="21"/>
                <w:lang w:eastAsia="cs-CZ"/>
              </w:rPr>
              <w:t>(v mil. Kč)</w:t>
            </w:r>
          </w:p>
        </w:tc>
        <w:tc>
          <w:tcPr>
            <w:tcW w:w="1000" w:type="dxa"/>
            <w:tcBorders>
              <w:top w:val="single" w:sz="8" w:space="0" w:color="4F81BD"/>
              <w:left w:val="nil"/>
              <w:bottom w:val="nil"/>
              <w:right w:val="nil"/>
            </w:tcBorders>
            <w:shd w:val="clear" w:color="000000" w:fill="6691C6"/>
            <w:hideMark/>
          </w:tcPr>
          <w:p w14:paraId="1A903EC3" w14:textId="77777777" w:rsidR="003A2470" w:rsidRPr="007905CE" w:rsidRDefault="003A2470" w:rsidP="003A2470">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2018</w:t>
            </w:r>
          </w:p>
        </w:tc>
        <w:tc>
          <w:tcPr>
            <w:tcW w:w="1000" w:type="dxa"/>
            <w:tcBorders>
              <w:top w:val="single" w:sz="8" w:space="0" w:color="4F81BD"/>
              <w:left w:val="nil"/>
              <w:bottom w:val="nil"/>
              <w:right w:val="nil"/>
            </w:tcBorders>
            <w:shd w:val="clear" w:color="000000" w:fill="4F81BD"/>
            <w:hideMark/>
          </w:tcPr>
          <w:p w14:paraId="2AC47B4F" w14:textId="77777777" w:rsidR="003A2470" w:rsidRPr="007905CE" w:rsidRDefault="003A2470" w:rsidP="003A2470">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2019</w:t>
            </w:r>
          </w:p>
        </w:tc>
        <w:tc>
          <w:tcPr>
            <w:tcW w:w="1000" w:type="dxa"/>
            <w:tcBorders>
              <w:top w:val="single" w:sz="8" w:space="0" w:color="4F81BD"/>
              <w:left w:val="nil"/>
              <w:bottom w:val="nil"/>
              <w:right w:val="nil"/>
            </w:tcBorders>
            <w:shd w:val="clear" w:color="000000" w:fill="6691C6"/>
            <w:hideMark/>
          </w:tcPr>
          <w:p w14:paraId="4EBB4F94" w14:textId="77777777" w:rsidR="003A2470" w:rsidRPr="007905CE" w:rsidRDefault="003A2470" w:rsidP="003A2470">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2020</w:t>
            </w:r>
          </w:p>
        </w:tc>
        <w:tc>
          <w:tcPr>
            <w:tcW w:w="1000" w:type="dxa"/>
            <w:tcBorders>
              <w:top w:val="single" w:sz="8" w:space="0" w:color="4F81BD"/>
              <w:left w:val="nil"/>
              <w:bottom w:val="nil"/>
              <w:right w:val="nil"/>
            </w:tcBorders>
            <w:shd w:val="clear" w:color="000000" w:fill="4F81BD"/>
            <w:hideMark/>
          </w:tcPr>
          <w:p w14:paraId="02E8BE5B" w14:textId="77777777" w:rsidR="003A2470" w:rsidRPr="007905CE" w:rsidRDefault="003A2470" w:rsidP="003A2470">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2021</w:t>
            </w:r>
          </w:p>
        </w:tc>
        <w:tc>
          <w:tcPr>
            <w:tcW w:w="1000" w:type="dxa"/>
            <w:tcBorders>
              <w:top w:val="single" w:sz="8" w:space="0" w:color="4F81BD"/>
              <w:left w:val="nil"/>
              <w:bottom w:val="nil"/>
              <w:right w:val="nil"/>
            </w:tcBorders>
            <w:shd w:val="clear" w:color="000000" w:fill="6691C6"/>
            <w:hideMark/>
          </w:tcPr>
          <w:p w14:paraId="35DB5784" w14:textId="77777777" w:rsidR="003A2470" w:rsidRPr="007905CE" w:rsidRDefault="003A2470" w:rsidP="003A2470">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2022</w:t>
            </w:r>
          </w:p>
        </w:tc>
        <w:tc>
          <w:tcPr>
            <w:tcW w:w="1000" w:type="dxa"/>
            <w:tcBorders>
              <w:top w:val="single" w:sz="8" w:space="0" w:color="4F81BD"/>
              <w:left w:val="nil"/>
              <w:bottom w:val="nil"/>
              <w:right w:val="nil"/>
            </w:tcBorders>
            <w:shd w:val="clear" w:color="000000" w:fill="4F81BD"/>
            <w:hideMark/>
          </w:tcPr>
          <w:p w14:paraId="3AB92E1C" w14:textId="77777777" w:rsidR="003A2470" w:rsidRPr="007905CE" w:rsidRDefault="003A2470" w:rsidP="003A2470">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2023</w:t>
            </w:r>
          </w:p>
        </w:tc>
        <w:tc>
          <w:tcPr>
            <w:tcW w:w="1000" w:type="dxa"/>
            <w:tcBorders>
              <w:top w:val="single" w:sz="8" w:space="0" w:color="4F81BD"/>
              <w:left w:val="nil"/>
              <w:bottom w:val="nil"/>
              <w:right w:val="single" w:sz="8" w:space="0" w:color="4F81BD"/>
            </w:tcBorders>
            <w:shd w:val="clear" w:color="000000" w:fill="6691C6"/>
            <w:hideMark/>
          </w:tcPr>
          <w:p w14:paraId="6D2AB9C4" w14:textId="77777777" w:rsidR="003A2470" w:rsidRPr="007905CE" w:rsidRDefault="003A2470" w:rsidP="003A2470">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2023</w:t>
            </w:r>
            <w:r w:rsidRPr="007905CE">
              <w:rPr>
                <w:rFonts w:ascii="Calibri" w:eastAsia="Times New Roman" w:hAnsi="Calibri" w:cs="Calibri"/>
                <w:b/>
                <w:bCs/>
                <w:color w:val="FFFFFF"/>
                <w:szCs w:val="21"/>
                <w:lang w:eastAsia="cs-CZ"/>
              </w:rPr>
              <w:br/>
              <w:t>ZPP</w:t>
            </w:r>
          </w:p>
        </w:tc>
      </w:tr>
      <w:tr w:rsidR="003A2470" w:rsidRPr="007905CE" w14:paraId="7324C3A1" w14:textId="77777777" w:rsidTr="003A2470">
        <w:trPr>
          <w:trHeight w:val="559"/>
        </w:trPr>
        <w:tc>
          <w:tcPr>
            <w:tcW w:w="2080" w:type="dxa"/>
            <w:tcBorders>
              <w:top w:val="nil"/>
              <w:left w:val="single" w:sz="8" w:space="0" w:color="4F81BD"/>
              <w:bottom w:val="nil"/>
              <w:right w:val="nil"/>
            </w:tcBorders>
            <w:shd w:val="clear" w:color="auto" w:fill="auto"/>
            <w:vAlign w:val="bottom"/>
            <w:hideMark/>
          </w:tcPr>
          <w:p w14:paraId="0A9E9843" w14:textId="77777777" w:rsidR="003A2470" w:rsidRPr="007905CE" w:rsidRDefault="003A2470" w:rsidP="003A2470">
            <w:pPr>
              <w:spacing w:after="0" w:line="240" w:lineRule="auto"/>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 xml:space="preserve">Náklady na </w:t>
            </w:r>
            <w:r w:rsidRPr="007905CE">
              <w:rPr>
                <w:rFonts w:ascii="Calibri" w:eastAsia="Times New Roman" w:hAnsi="Calibri" w:cs="Calibri"/>
                <w:b/>
                <w:bCs/>
                <w:color w:val="000000"/>
                <w:szCs w:val="21"/>
                <w:lang w:eastAsia="cs-CZ"/>
              </w:rPr>
              <w:br/>
              <w:t>ambulantní péči</w:t>
            </w:r>
          </w:p>
        </w:tc>
        <w:tc>
          <w:tcPr>
            <w:tcW w:w="1000" w:type="dxa"/>
            <w:tcBorders>
              <w:top w:val="nil"/>
              <w:left w:val="nil"/>
              <w:bottom w:val="nil"/>
              <w:right w:val="nil"/>
            </w:tcBorders>
            <w:shd w:val="clear" w:color="000000" w:fill="DCE6F1"/>
            <w:noWrap/>
            <w:vAlign w:val="bottom"/>
            <w:hideMark/>
          </w:tcPr>
          <w:p w14:paraId="0143E75C"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75 094</w:t>
            </w:r>
          </w:p>
        </w:tc>
        <w:tc>
          <w:tcPr>
            <w:tcW w:w="1000" w:type="dxa"/>
            <w:tcBorders>
              <w:top w:val="nil"/>
              <w:left w:val="nil"/>
              <w:bottom w:val="nil"/>
              <w:right w:val="nil"/>
            </w:tcBorders>
            <w:shd w:val="clear" w:color="auto" w:fill="auto"/>
            <w:noWrap/>
            <w:vAlign w:val="bottom"/>
            <w:hideMark/>
          </w:tcPr>
          <w:p w14:paraId="250F5D8F"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83 028</w:t>
            </w:r>
          </w:p>
        </w:tc>
        <w:tc>
          <w:tcPr>
            <w:tcW w:w="1000" w:type="dxa"/>
            <w:tcBorders>
              <w:top w:val="nil"/>
              <w:left w:val="nil"/>
              <w:bottom w:val="nil"/>
              <w:right w:val="nil"/>
            </w:tcBorders>
            <w:shd w:val="clear" w:color="000000" w:fill="DCE6F1"/>
            <w:noWrap/>
            <w:vAlign w:val="bottom"/>
            <w:hideMark/>
          </w:tcPr>
          <w:p w14:paraId="59850613"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100 602</w:t>
            </w:r>
          </w:p>
        </w:tc>
        <w:tc>
          <w:tcPr>
            <w:tcW w:w="1000" w:type="dxa"/>
            <w:tcBorders>
              <w:top w:val="nil"/>
              <w:left w:val="nil"/>
              <w:bottom w:val="nil"/>
              <w:right w:val="nil"/>
            </w:tcBorders>
            <w:shd w:val="clear" w:color="auto" w:fill="auto"/>
            <w:noWrap/>
            <w:vAlign w:val="bottom"/>
            <w:hideMark/>
          </w:tcPr>
          <w:p w14:paraId="5F46E50C"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109 472</w:t>
            </w:r>
          </w:p>
        </w:tc>
        <w:tc>
          <w:tcPr>
            <w:tcW w:w="1000" w:type="dxa"/>
            <w:tcBorders>
              <w:top w:val="nil"/>
              <w:left w:val="nil"/>
              <w:bottom w:val="nil"/>
              <w:right w:val="nil"/>
            </w:tcBorders>
            <w:shd w:val="clear" w:color="000000" w:fill="DCE6F1"/>
            <w:noWrap/>
            <w:vAlign w:val="bottom"/>
            <w:hideMark/>
          </w:tcPr>
          <w:p w14:paraId="3DCDF34C"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114 193</w:t>
            </w:r>
          </w:p>
        </w:tc>
        <w:tc>
          <w:tcPr>
            <w:tcW w:w="1000" w:type="dxa"/>
            <w:tcBorders>
              <w:top w:val="nil"/>
              <w:left w:val="nil"/>
              <w:bottom w:val="nil"/>
              <w:right w:val="single" w:sz="8" w:space="0" w:color="4F81BD"/>
            </w:tcBorders>
            <w:shd w:val="clear" w:color="auto" w:fill="auto"/>
            <w:noWrap/>
            <w:vAlign w:val="bottom"/>
            <w:hideMark/>
          </w:tcPr>
          <w:p w14:paraId="20FB80B4"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124 974</w:t>
            </w:r>
          </w:p>
        </w:tc>
        <w:tc>
          <w:tcPr>
            <w:tcW w:w="1000" w:type="dxa"/>
            <w:tcBorders>
              <w:top w:val="nil"/>
              <w:left w:val="nil"/>
              <w:bottom w:val="nil"/>
              <w:right w:val="single" w:sz="8" w:space="0" w:color="4F81BD"/>
            </w:tcBorders>
            <w:shd w:val="clear" w:color="auto" w:fill="auto"/>
            <w:noWrap/>
            <w:vAlign w:val="bottom"/>
            <w:hideMark/>
          </w:tcPr>
          <w:p w14:paraId="6B8547EA"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123 280</w:t>
            </w:r>
          </w:p>
        </w:tc>
      </w:tr>
      <w:tr w:rsidR="003A2470" w:rsidRPr="007905CE" w14:paraId="607E81D4" w14:textId="77777777" w:rsidTr="003A2470">
        <w:trPr>
          <w:trHeight w:val="559"/>
        </w:trPr>
        <w:tc>
          <w:tcPr>
            <w:tcW w:w="2080" w:type="dxa"/>
            <w:tcBorders>
              <w:top w:val="nil"/>
              <w:left w:val="single" w:sz="8" w:space="0" w:color="4F81BD"/>
              <w:bottom w:val="nil"/>
              <w:right w:val="nil"/>
            </w:tcBorders>
            <w:shd w:val="clear" w:color="000000" w:fill="EEF3F8"/>
            <w:vAlign w:val="bottom"/>
            <w:hideMark/>
          </w:tcPr>
          <w:p w14:paraId="6471FFC8" w14:textId="77777777" w:rsidR="003A2470" w:rsidRPr="007905CE" w:rsidRDefault="003A2470" w:rsidP="003A2470">
            <w:pPr>
              <w:spacing w:after="0" w:line="240" w:lineRule="auto"/>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 xml:space="preserve">Náklady na </w:t>
            </w:r>
            <w:r w:rsidRPr="007905CE">
              <w:rPr>
                <w:rFonts w:ascii="Calibri" w:eastAsia="Times New Roman" w:hAnsi="Calibri" w:cs="Calibri"/>
                <w:b/>
                <w:bCs/>
                <w:color w:val="000000"/>
                <w:szCs w:val="21"/>
                <w:lang w:eastAsia="cs-CZ"/>
              </w:rPr>
              <w:br/>
              <w:t>lůžkovou péči</w:t>
            </w:r>
          </w:p>
        </w:tc>
        <w:tc>
          <w:tcPr>
            <w:tcW w:w="1000" w:type="dxa"/>
            <w:tcBorders>
              <w:top w:val="nil"/>
              <w:left w:val="nil"/>
              <w:bottom w:val="nil"/>
              <w:right w:val="nil"/>
            </w:tcBorders>
            <w:shd w:val="clear" w:color="000000" w:fill="EEF3F8"/>
            <w:noWrap/>
            <w:vAlign w:val="bottom"/>
            <w:hideMark/>
          </w:tcPr>
          <w:p w14:paraId="046E8516"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155 361</w:t>
            </w:r>
          </w:p>
        </w:tc>
        <w:tc>
          <w:tcPr>
            <w:tcW w:w="1000" w:type="dxa"/>
            <w:tcBorders>
              <w:top w:val="nil"/>
              <w:left w:val="nil"/>
              <w:bottom w:val="nil"/>
              <w:right w:val="nil"/>
            </w:tcBorders>
            <w:shd w:val="clear" w:color="000000" w:fill="EEF3F8"/>
            <w:noWrap/>
            <w:vAlign w:val="bottom"/>
            <w:hideMark/>
          </w:tcPr>
          <w:p w14:paraId="1EF43FE9"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170 226</w:t>
            </w:r>
          </w:p>
        </w:tc>
        <w:tc>
          <w:tcPr>
            <w:tcW w:w="1000" w:type="dxa"/>
            <w:tcBorders>
              <w:top w:val="nil"/>
              <w:left w:val="nil"/>
              <w:bottom w:val="nil"/>
              <w:right w:val="nil"/>
            </w:tcBorders>
            <w:shd w:val="clear" w:color="000000" w:fill="EEF3F8"/>
            <w:noWrap/>
            <w:vAlign w:val="bottom"/>
            <w:hideMark/>
          </w:tcPr>
          <w:p w14:paraId="1B4499D9"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197 758</w:t>
            </w:r>
          </w:p>
        </w:tc>
        <w:tc>
          <w:tcPr>
            <w:tcW w:w="1000" w:type="dxa"/>
            <w:tcBorders>
              <w:top w:val="nil"/>
              <w:left w:val="nil"/>
              <w:bottom w:val="nil"/>
              <w:right w:val="nil"/>
            </w:tcBorders>
            <w:shd w:val="clear" w:color="000000" w:fill="EEF3F8"/>
            <w:noWrap/>
            <w:vAlign w:val="bottom"/>
            <w:hideMark/>
          </w:tcPr>
          <w:p w14:paraId="31CEE942"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229 253</w:t>
            </w:r>
          </w:p>
        </w:tc>
        <w:tc>
          <w:tcPr>
            <w:tcW w:w="1000" w:type="dxa"/>
            <w:tcBorders>
              <w:top w:val="nil"/>
              <w:left w:val="nil"/>
              <w:bottom w:val="nil"/>
              <w:right w:val="nil"/>
            </w:tcBorders>
            <w:shd w:val="clear" w:color="000000" w:fill="EEF3F8"/>
            <w:noWrap/>
            <w:vAlign w:val="bottom"/>
            <w:hideMark/>
          </w:tcPr>
          <w:p w14:paraId="69D75121"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237 060</w:t>
            </w:r>
          </w:p>
        </w:tc>
        <w:tc>
          <w:tcPr>
            <w:tcW w:w="1000" w:type="dxa"/>
            <w:tcBorders>
              <w:top w:val="nil"/>
              <w:left w:val="nil"/>
              <w:bottom w:val="nil"/>
              <w:right w:val="single" w:sz="8" w:space="0" w:color="4F81BD"/>
            </w:tcBorders>
            <w:shd w:val="clear" w:color="000000" w:fill="EEF3F8"/>
            <w:noWrap/>
            <w:vAlign w:val="bottom"/>
            <w:hideMark/>
          </w:tcPr>
          <w:p w14:paraId="04505C1F"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258 894</w:t>
            </w:r>
          </w:p>
        </w:tc>
        <w:tc>
          <w:tcPr>
            <w:tcW w:w="1000" w:type="dxa"/>
            <w:tcBorders>
              <w:top w:val="nil"/>
              <w:left w:val="nil"/>
              <w:bottom w:val="nil"/>
              <w:right w:val="single" w:sz="8" w:space="0" w:color="4F81BD"/>
            </w:tcBorders>
            <w:shd w:val="clear" w:color="000000" w:fill="EEF3F8"/>
            <w:noWrap/>
            <w:vAlign w:val="bottom"/>
            <w:hideMark/>
          </w:tcPr>
          <w:p w14:paraId="19EAD1C7"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260 347</w:t>
            </w:r>
          </w:p>
        </w:tc>
      </w:tr>
      <w:tr w:rsidR="003A2470" w:rsidRPr="007905CE" w14:paraId="56788062" w14:textId="77777777" w:rsidTr="003A2470">
        <w:trPr>
          <w:trHeight w:val="300"/>
        </w:trPr>
        <w:tc>
          <w:tcPr>
            <w:tcW w:w="2080" w:type="dxa"/>
            <w:tcBorders>
              <w:top w:val="nil"/>
              <w:left w:val="single" w:sz="8" w:space="0" w:color="4F81BD"/>
              <w:bottom w:val="nil"/>
              <w:right w:val="nil"/>
            </w:tcBorders>
            <w:shd w:val="clear" w:color="auto" w:fill="auto"/>
            <w:vAlign w:val="bottom"/>
            <w:hideMark/>
          </w:tcPr>
          <w:p w14:paraId="7047873E" w14:textId="77777777" w:rsidR="003A2470" w:rsidRPr="007905CE" w:rsidRDefault="003A2470" w:rsidP="003A2470">
            <w:pPr>
              <w:spacing w:after="0" w:line="240" w:lineRule="auto"/>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Ostatní náklady</w:t>
            </w:r>
          </w:p>
        </w:tc>
        <w:tc>
          <w:tcPr>
            <w:tcW w:w="1000" w:type="dxa"/>
            <w:tcBorders>
              <w:top w:val="nil"/>
              <w:left w:val="nil"/>
              <w:bottom w:val="nil"/>
              <w:right w:val="nil"/>
            </w:tcBorders>
            <w:shd w:val="clear" w:color="000000" w:fill="DCE6F1"/>
            <w:noWrap/>
            <w:vAlign w:val="bottom"/>
            <w:hideMark/>
          </w:tcPr>
          <w:p w14:paraId="031C3E94"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54 847</w:t>
            </w:r>
          </w:p>
        </w:tc>
        <w:tc>
          <w:tcPr>
            <w:tcW w:w="1000" w:type="dxa"/>
            <w:tcBorders>
              <w:top w:val="nil"/>
              <w:left w:val="nil"/>
              <w:bottom w:val="nil"/>
              <w:right w:val="nil"/>
            </w:tcBorders>
            <w:shd w:val="clear" w:color="auto" w:fill="auto"/>
            <w:noWrap/>
            <w:vAlign w:val="bottom"/>
            <w:hideMark/>
          </w:tcPr>
          <w:p w14:paraId="6D995A5A"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57 715</w:t>
            </w:r>
          </w:p>
        </w:tc>
        <w:tc>
          <w:tcPr>
            <w:tcW w:w="1000" w:type="dxa"/>
            <w:tcBorders>
              <w:top w:val="nil"/>
              <w:left w:val="nil"/>
              <w:bottom w:val="nil"/>
              <w:right w:val="nil"/>
            </w:tcBorders>
            <w:shd w:val="clear" w:color="000000" w:fill="DCE6F1"/>
            <w:noWrap/>
            <w:vAlign w:val="bottom"/>
            <w:hideMark/>
          </w:tcPr>
          <w:p w14:paraId="2F2C1D71"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60 663</w:t>
            </w:r>
          </w:p>
        </w:tc>
        <w:tc>
          <w:tcPr>
            <w:tcW w:w="1000" w:type="dxa"/>
            <w:tcBorders>
              <w:top w:val="nil"/>
              <w:left w:val="nil"/>
              <w:bottom w:val="nil"/>
              <w:right w:val="nil"/>
            </w:tcBorders>
            <w:shd w:val="clear" w:color="auto" w:fill="auto"/>
            <w:noWrap/>
            <w:vAlign w:val="bottom"/>
            <w:hideMark/>
          </w:tcPr>
          <w:p w14:paraId="4A725470"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65 818</w:t>
            </w:r>
          </w:p>
        </w:tc>
        <w:tc>
          <w:tcPr>
            <w:tcW w:w="1000" w:type="dxa"/>
            <w:tcBorders>
              <w:top w:val="nil"/>
              <w:left w:val="nil"/>
              <w:bottom w:val="nil"/>
              <w:right w:val="nil"/>
            </w:tcBorders>
            <w:shd w:val="clear" w:color="000000" w:fill="DCE6F1"/>
            <w:noWrap/>
            <w:vAlign w:val="bottom"/>
            <w:hideMark/>
          </w:tcPr>
          <w:p w14:paraId="1F1E251B"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66 874</w:t>
            </w:r>
          </w:p>
        </w:tc>
        <w:tc>
          <w:tcPr>
            <w:tcW w:w="1000" w:type="dxa"/>
            <w:tcBorders>
              <w:top w:val="nil"/>
              <w:left w:val="nil"/>
              <w:bottom w:val="nil"/>
              <w:right w:val="single" w:sz="8" w:space="0" w:color="4F81BD"/>
            </w:tcBorders>
            <w:shd w:val="clear" w:color="auto" w:fill="auto"/>
            <w:noWrap/>
            <w:vAlign w:val="bottom"/>
            <w:hideMark/>
          </w:tcPr>
          <w:p w14:paraId="62823D2C"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72 586</w:t>
            </w:r>
          </w:p>
        </w:tc>
        <w:tc>
          <w:tcPr>
            <w:tcW w:w="1000" w:type="dxa"/>
            <w:tcBorders>
              <w:top w:val="nil"/>
              <w:left w:val="nil"/>
              <w:bottom w:val="nil"/>
              <w:right w:val="single" w:sz="8" w:space="0" w:color="4F81BD"/>
            </w:tcBorders>
            <w:shd w:val="clear" w:color="auto" w:fill="auto"/>
            <w:noWrap/>
            <w:vAlign w:val="bottom"/>
            <w:hideMark/>
          </w:tcPr>
          <w:p w14:paraId="39719BF3" w14:textId="77777777" w:rsidR="003A2470" w:rsidRPr="007905CE" w:rsidRDefault="003A2470" w:rsidP="003A2470">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74 219</w:t>
            </w:r>
          </w:p>
        </w:tc>
      </w:tr>
      <w:tr w:rsidR="003A2470" w:rsidRPr="007905CE" w14:paraId="507C4B79" w14:textId="77777777" w:rsidTr="003A2470">
        <w:trPr>
          <w:trHeight w:val="300"/>
        </w:trPr>
        <w:tc>
          <w:tcPr>
            <w:tcW w:w="2080" w:type="dxa"/>
            <w:tcBorders>
              <w:top w:val="nil"/>
              <w:left w:val="single" w:sz="8" w:space="0" w:color="4F81BD"/>
              <w:bottom w:val="single" w:sz="8" w:space="0" w:color="4F81BD"/>
              <w:right w:val="nil"/>
            </w:tcBorders>
            <w:shd w:val="clear" w:color="000000" w:fill="EEF3F8"/>
            <w:vAlign w:val="bottom"/>
            <w:hideMark/>
          </w:tcPr>
          <w:p w14:paraId="67E217E6" w14:textId="77777777" w:rsidR="003A2470" w:rsidRPr="007905CE" w:rsidRDefault="003A2470" w:rsidP="003A2470">
            <w:pPr>
              <w:spacing w:after="0" w:line="240" w:lineRule="auto"/>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Celkové náklady</w:t>
            </w:r>
          </w:p>
        </w:tc>
        <w:tc>
          <w:tcPr>
            <w:tcW w:w="1000" w:type="dxa"/>
            <w:tcBorders>
              <w:top w:val="nil"/>
              <w:left w:val="nil"/>
              <w:bottom w:val="single" w:sz="8" w:space="0" w:color="4F81BD"/>
              <w:right w:val="nil"/>
            </w:tcBorders>
            <w:shd w:val="clear" w:color="000000" w:fill="EEF3F8"/>
            <w:noWrap/>
            <w:vAlign w:val="bottom"/>
            <w:hideMark/>
          </w:tcPr>
          <w:p w14:paraId="67BBCCC3" w14:textId="77777777" w:rsidR="003A2470" w:rsidRPr="007905CE" w:rsidRDefault="003A2470" w:rsidP="003A2470">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285 302</w:t>
            </w:r>
          </w:p>
        </w:tc>
        <w:tc>
          <w:tcPr>
            <w:tcW w:w="1000" w:type="dxa"/>
            <w:tcBorders>
              <w:top w:val="nil"/>
              <w:left w:val="nil"/>
              <w:bottom w:val="single" w:sz="8" w:space="0" w:color="4F81BD"/>
              <w:right w:val="nil"/>
            </w:tcBorders>
            <w:shd w:val="clear" w:color="000000" w:fill="EEF3F8"/>
            <w:noWrap/>
            <w:vAlign w:val="bottom"/>
            <w:hideMark/>
          </w:tcPr>
          <w:p w14:paraId="2AAB387F" w14:textId="77777777" w:rsidR="003A2470" w:rsidRPr="007905CE" w:rsidRDefault="003A2470" w:rsidP="003A2470">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310 969</w:t>
            </w:r>
          </w:p>
        </w:tc>
        <w:tc>
          <w:tcPr>
            <w:tcW w:w="1000" w:type="dxa"/>
            <w:tcBorders>
              <w:top w:val="nil"/>
              <w:left w:val="nil"/>
              <w:bottom w:val="single" w:sz="8" w:space="0" w:color="4F81BD"/>
              <w:right w:val="nil"/>
            </w:tcBorders>
            <w:shd w:val="clear" w:color="000000" w:fill="EEF3F8"/>
            <w:noWrap/>
            <w:vAlign w:val="bottom"/>
            <w:hideMark/>
          </w:tcPr>
          <w:p w14:paraId="05A329F2" w14:textId="77777777" w:rsidR="003A2470" w:rsidRPr="007905CE" w:rsidRDefault="003A2470" w:rsidP="003A2470">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359 023</w:t>
            </w:r>
          </w:p>
        </w:tc>
        <w:tc>
          <w:tcPr>
            <w:tcW w:w="1000" w:type="dxa"/>
            <w:tcBorders>
              <w:top w:val="nil"/>
              <w:left w:val="nil"/>
              <w:bottom w:val="single" w:sz="8" w:space="0" w:color="4F81BD"/>
              <w:right w:val="nil"/>
            </w:tcBorders>
            <w:shd w:val="clear" w:color="000000" w:fill="EEF3F8"/>
            <w:noWrap/>
            <w:vAlign w:val="bottom"/>
            <w:hideMark/>
          </w:tcPr>
          <w:p w14:paraId="5F8CD92B" w14:textId="77777777" w:rsidR="003A2470" w:rsidRPr="007905CE" w:rsidRDefault="003A2470" w:rsidP="003A2470">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404 543</w:t>
            </w:r>
          </w:p>
        </w:tc>
        <w:tc>
          <w:tcPr>
            <w:tcW w:w="1000" w:type="dxa"/>
            <w:tcBorders>
              <w:top w:val="nil"/>
              <w:left w:val="nil"/>
              <w:bottom w:val="single" w:sz="8" w:space="0" w:color="4F81BD"/>
              <w:right w:val="nil"/>
            </w:tcBorders>
            <w:shd w:val="clear" w:color="000000" w:fill="EEF3F8"/>
            <w:noWrap/>
            <w:vAlign w:val="bottom"/>
            <w:hideMark/>
          </w:tcPr>
          <w:p w14:paraId="39741F90" w14:textId="77777777" w:rsidR="003A2470" w:rsidRPr="007905CE" w:rsidRDefault="003A2470" w:rsidP="003A2470">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418 126</w:t>
            </w:r>
          </w:p>
        </w:tc>
        <w:tc>
          <w:tcPr>
            <w:tcW w:w="1000" w:type="dxa"/>
            <w:tcBorders>
              <w:top w:val="nil"/>
              <w:left w:val="nil"/>
              <w:bottom w:val="single" w:sz="8" w:space="0" w:color="4F81BD"/>
              <w:right w:val="single" w:sz="8" w:space="0" w:color="4F81BD"/>
            </w:tcBorders>
            <w:shd w:val="clear" w:color="000000" w:fill="EEF3F8"/>
            <w:noWrap/>
            <w:vAlign w:val="bottom"/>
            <w:hideMark/>
          </w:tcPr>
          <w:p w14:paraId="36EBA218" w14:textId="77777777" w:rsidR="003A2470" w:rsidRPr="007905CE" w:rsidRDefault="003A2470" w:rsidP="003A2470">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456 454</w:t>
            </w:r>
          </w:p>
        </w:tc>
        <w:tc>
          <w:tcPr>
            <w:tcW w:w="1000" w:type="dxa"/>
            <w:tcBorders>
              <w:top w:val="nil"/>
              <w:left w:val="nil"/>
              <w:bottom w:val="single" w:sz="8" w:space="0" w:color="4F81BD"/>
              <w:right w:val="single" w:sz="8" w:space="0" w:color="4F81BD"/>
            </w:tcBorders>
            <w:shd w:val="clear" w:color="000000" w:fill="EEF3F8"/>
            <w:noWrap/>
            <w:vAlign w:val="bottom"/>
            <w:hideMark/>
          </w:tcPr>
          <w:p w14:paraId="08B630D7" w14:textId="77777777" w:rsidR="003A2470" w:rsidRPr="007905CE" w:rsidRDefault="003A2470" w:rsidP="003A2470">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457 846</w:t>
            </w:r>
          </w:p>
        </w:tc>
      </w:tr>
    </w:tbl>
    <w:p w14:paraId="3DB20953" w14:textId="77777777" w:rsidR="003A2470" w:rsidRPr="007905CE" w:rsidRDefault="003A2470" w:rsidP="0081289B">
      <w:pPr>
        <w:rPr>
          <w:lang w:bidi="hi-IN"/>
        </w:rPr>
      </w:pPr>
    </w:p>
    <w:p w14:paraId="46BAEA6C" w14:textId="16254B35" w:rsidR="007036D6" w:rsidRPr="007905CE" w:rsidRDefault="007036D6" w:rsidP="0021299E">
      <w:pPr>
        <w:pStyle w:val="Titulek"/>
        <w:jc w:val="both"/>
      </w:pPr>
      <w:bookmarkStart w:id="44" w:name="_Toc41837501"/>
      <w:bookmarkStart w:id="45" w:name="_Toc168993234"/>
      <w:r w:rsidRPr="007905CE">
        <w:t xml:space="preserve">Tabulka č. </w:t>
      </w:r>
      <w:r w:rsidRPr="007905CE">
        <w:rPr>
          <w:noProof/>
        </w:rPr>
        <w:fldChar w:fldCharType="begin"/>
      </w:r>
      <w:r w:rsidRPr="007905CE">
        <w:rPr>
          <w:noProof/>
        </w:rPr>
        <w:instrText xml:space="preserve"> SEQ Tabulka \* ARABIC </w:instrText>
      </w:r>
      <w:r w:rsidRPr="007905CE">
        <w:rPr>
          <w:noProof/>
        </w:rPr>
        <w:fldChar w:fldCharType="separate"/>
      </w:r>
      <w:r w:rsidR="00904274">
        <w:rPr>
          <w:noProof/>
        </w:rPr>
        <w:t>9</w:t>
      </w:r>
      <w:r w:rsidRPr="007905CE">
        <w:rPr>
          <w:noProof/>
        </w:rPr>
        <w:fldChar w:fldCharType="end"/>
      </w:r>
      <w:r w:rsidRPr="007905CE">
        <w:t>: Vývoj nákladů na zdravotní služby ze ZFZP podle segmentů</w:t>
      </w:r>
      <w:bookmarkEnd w:id="44"/>
      <w:bookmarkEnd w:id="45"/>
      <w:r w:rsidRPr="007905CE">
        <w:t xml:space="preserve"> </w:t>
      </w:r>
    </w:p>
    <w:tbl>
      <w:tblPr>
        <w:tblW w:w="9080" w:type="dxa"/>
        <w:tblCellMar>
          <w:left w:w="70" w:type="dxa"/>
          <w:right w:w="70" w:type="dxa"/>
        </w:tblCellMar>
        <w:tblLook w:val="04A0" w:firstRow="1" w:lastRow="0" w:firstColumn="1" w:lastColumn="0" w:noHBand="0" w:noVBand="1"/>
      </w:tblPr>
      <w:tblGrid>
        <w:gridCol w:w="2080"/>
        <w:gridCol w:w="1000"/>
        <w:gridCol w:w="1000"/>
        <w:gridCol w:w="1000"/>
        <w:gridCol w:w="1000"/>
        <w:gridCol w:w="1000"/>
        <w:gridCol w:w="1000"/>
        <w:gridCol w:w="1000"/>
      </w:tblGrid>
      <w:tr w:rsidR="008D5920" w:rsidRPr="008D5920" w14:paraId="75023AE5" w14:textId="77777777" w:rsidTr="008D5920">
        <w:trPr>
          <w:trHeight w:val="600"/>
        </w:trPr>
        <w:tc>
          <w:tcPr>
            <w:tcW w:w="2080" w:type="dxa"/>
            <w:tcBorders>
              <w:top w:val="single" w:sz="8" w:space="0" w:color="4F81BD"/>
              <w:left w:val="single" w:sz="8" w:space="0" w:color="4F81BD"/>
              <w:bottom w:val="nil"/>
              <w:right w:val="nil"/>
            </w:tcBorders>
            <w:shd w:val="clear" w:color="000000" w:fill="4F81BD"/>
            <w:hideMark/>
          </w:tcPr>
          <w:p w14:paraId="4CD26E7E" w14:textId="77777777" w:rsidR="008D5920" w:rsidRPr="008D5920" w:rsidRDefault="008D5920" w:rsidP="008D5920">
            <w:pPr>
              <w:spacing w:after="0" w:line="240" w:lineRule="auto"/>
              <w:rPr>
                <w:rFonts w:ascii="Calibri" w:eastAsia="Times New Roman" w:hAnsi="Calibri" w:cs="Calibri"/>
                <w:b/>
                <w:bCs/>
                <w:color w:val="FFFFFF"/>
                <w:szCs w:val="21"/>
                <w:lang w:eastAsia="cs-CZ"/>
              </w:rPr>
            </w:pPr>
            <w:r w:rsidRPr="008D5920">
              <w:rPr>
                <w:rFonts w:ascii="Calibri" w:eastAsia="Times New Roman" w:hAnsi="Calibri" w:cs="Calibri"/>
                <w:b/>
                <w:bCs/>
                <w:color w:val="FFFFFF"/>
                <w:szCs w:val="21"/>
                <w:lang w:eastAsia="cs-CZ"/>
              </w:rPr>
              <w:t>Ukazatel</w:t>
            </w:r>
            <w:r w:rsidRPr="008D5920">
              <w:rPr>
                <w:rFonts w:ascii="Calibri" w:eastAsia="Times New Roman" w:hAnsi="Calibri" w:cs="Calibri"/>
                <w:b/>
                <w:bCs/>
                <w:color w:val="FFFFFF"/>
                <w:szCs w:val="21"/>
                <w:lang w:eastAsia="cs-CZ"/>
              </w:rPr>
              <w:br/>
            </w:r>
            <w:r w:rsidRPr="008D5920">
              <w:rPr>
                <w:rFonts w:ascii="Calibri" w:eastAsia="Times New Roman" w:hAnsi="Calibri" w:cs="Calibri"/>
                <w:color w:val="FFFFFF"/>
                <w:szCs w:val="21"/>
                <w:lang w:eastAsia="cs-CZ"/>
              </w:rPr>
              <w:t>(v %)</w:t>
            </w:r>
          </w:p>
        </w:tc>
        <w:tc>
          <w:tcPr>
            <w:tcW w:w="1000" w:type="dxa"/>
            <w:tcBorders>
              <w:top w:val="single" w:sz="8" w:space="0" w:color="4F81BD"/>
              <w:left w:val="nil"/>
              <w:bottom w:val="nil"/>
              <w:right w:val="nil"/>
            </w:tcBorders>
            <w:shd w:val="clear" w:color="000000" w:fill="6691C6"/>
            <w:vAlign w:val="center"/>
            <w:hideMark/>
          </w:tcPr>
          <w:p w14:paraId="3FE5AF11" w14:textId="77777777" w:rsidR="008D5920" w:rsidRPr="008D5920" w:rsidRDefault="008D5920" w:rsidP="008D5920">
            <w:pPr>
              <w:spacing w:after="0" w:line="240" w:lineRule="auto"/>
              <w:jc w:val="center"/>
              <w:rPr>
                <w:rFonts w:ascii="Calibri" w:eastAsia="Times New Roman" w:hAnsi="Calibri" w:cs="Calibri"/>
                <w:b/>
                <w:bCs/>
                <w:color w:val="FFFFFF"/>
                <w:szCs w:val="21"/>
                <w:lang w:eastAsia="cs-CZ"/>
              </w:rPr>
            </w:pPr>
            <w:r w:rsidRPr="008D5920">
              <w:rPr>
                <w:rFonts w:ascii="Calibri" w:eastAsia="Times New Roman" w:hAnsi="Calibri" w:cs="Calibri"/>
                <w:b/>
                <w:bCs/>
                <w:color w:val="FFFFFF"/>
                <w:szCs w:val="21"/>
                <w:lang w:eastAsia="cs-CZ"/>
              </w:rPr>
              <w:t>2018/</w:t>
            </w:r>
            <w:r w:rsidRPr="008D5920">
              <w:rPr>
                <w:rFonts w:ascii="Calibri" w:eastAsia="Times New Roman" w:hAnsi="Calibri" w:cs="Calibri"/>
                <w:b/>
                <w:bCs/>
                <w:color w:val="FFFFFF"/>
                <w:szCs w:val="21"/>
                <w:lang w:eastAsia="cs-CZ"/>
              </w:rPr>
              <w:br/>
              <w:t>2017</w:t>
            </w:r>
          </w:p>
        </w:tc>
        <w:tc>
          <w:tcPr>
            <w:tcW w:w="1000" w:type="dxa"/>
            <w:tcBorders>
              <w:top w:val="single" w:sz="8" w:space="0" w:color="4F81BD"/>
              <w:left w:val="nil"/>
              <w:bottom w:val="nil"/>
              <w:right w:val="nil"/>
            </w:tcBorders>
            <w:shd w:val="clear" w:color="000000" w:fill="4F81BD"/>
            <w:vAlign w:val="center"/>
            <w:hideMark/>
          </w:tcPr>
          <w:p w14:paraId="6979EA1A" w14:textId="77777777" w:rsidR="008D5920" w:rsidRPr="008D5920" w:rsidRDefault="008D5920" w:rsidP="008D5920">
            <w:pPr>
              <w:spacing w:after="0" w:line="240" w:lineRule="auto"/>
              <w:jc w:val="center"/>
              <w:rPr>
                <w:rFonts w:ascii="Calibri" w:eastAsia="Times New Roman" w:hAnsi="Calibri" w:cs="Calibri"/>
                <w:b/>
                <w:bCs/>
                <w:color w:val="FFFFFF"/>
                <w:szCs w:val="21"/>
                <w:lang w:eastAsia="cs-CZ"/>
              </w:rPr>
            </w:pPr>
            <w:r w:rsidRPr="008D5920">
              <w:rPr>
                <w:rFonts w:ascii="Calibri" w:eastAsia="Times New Roman" w:hAnsi="Calibri" w:cs="Calibri"/>
                <w:b/>
                <w:bCs/>
                <w:color w:val="FFFFFF"/>
                <w:szCs w:val="21"/>
                <w:lang w:eastAsia="cs-CZ"/>
              </w:rPr>
              <w:t>2019/</w:t>
            </w:r>
            <w:r w:rsidRPr="008D5920">
              <w:rPr>
                <w:rFonts w:ascii="Calibri" w:eastAsia="Times New Roman" w:hAnsi="Calibri" w:cs="Calibri"/>
                <w:b/>
                <w:bCs/>
                <w:color w:val="FFFFFF"/>
                <w:szCs w:val="21"/>
                <w:lang w:eastAsia="cs-CZ"/>
              </w:rPr>
              <w:br/>
              <w:t>2018</w:t>
            </w:r>
          </w:p>
        </w:tc>
        <w:tc>
          <w:tcPr>
            <w:tcW w:w="1000" w:type="dxa"/>
            <w:tcBorders>
              <w:top w:val="single" w:sz="8" w:space="0" w:color="4F81BD"/>
              <w:left w:val="nil"/>
              <w:bottom w:val="nil"/>
              <w:right w:val="nil"/>
            </w:tcBorders>
            <w:shd w:val="clear" w:color="000000" w:fill="6691C6"/>
            <w:vAlign w:val="center"/>
            <w:hideMark/>
          </w:tcPr>
          <w:p w14:paraId="0516D9DD" w14:textId="77777777" w:rsidR="008D5920" w:rsidRPr="008D5920" w:rsidRDefault="008D5920" w:rsidP="008D5920">
            <w:pPr>
              <w:spacing w:after="0" w:line="240" w:lineRule="auto"/>
              <w:jc w:val="center"/>
              <w:rPr>
                <w:rFonts w:ascii="Calibri" w:eastAsia="Times New Roman" w:hAnsi="Calibri" w:cs="Calibri"/>
                <w:b/>
                <w:bCs/>
                <w:color w:val="FFFFFF"/>
                <w:szCs w:val="21"/>
                <w:lang w:eastAsia="cs-CZ"/>
              </w:rPr>
            </w:pPr>
            <w:r w:rsidRPr="008D5920">
              <w:rPr>
                <w:rFonts w:ascii="Calibri" w:eastAsia="Times New Roman" w:hAnsi="Calibri" w:cs="Calibri"/>
                <w:b/>
                <w:bCs/>
                <w:color w:val="FFFFFF"/>
                <w:szCs w:val="21"/>
                <w:lang w:eastAsia="cs-CZ"/>
              </w:rPr>
              <w:t>2020/</w:t>
            </w:r>
            <w:r w:rsidRPr="008D5920">
              <w:rPr>
                <w:rFonts w:ascii="Calibri" w:eastAsia="Times New Roman" w:hAnsi="Calibri" w:cs="Calibri"/>
                <w:b/>
                <w:bCs/>
                <w:color w:val="FFFFFF"/>
                <w:szCs w:val="21"/>
                <w:lang w:eastAsia="cs-CZ"/>
              </w:rPr>
              <w:br/>
              <w:t>2019</w:t>
            </w:r>
          </w:p>
        </w:tc>
        <w:tc>
          <w:tcPr>
            <w:tcW w:w="1000" w:type="dxa"/>
            <w:tcBorders>
              <w:top w:val="single" w:sz="8" w:space="0" w:color="4F81BD"/>
              <w:left w:val="nil"/>
              <w:bottom w:val="nil"/>
              <w:right w:val="nil"/>
            </w:tcBorders>
            <w:shd w:val="clear" w:color="000000" w:fill="4F81BD"/>
            <w:vAlign w:val="center"/>
            <w:hideMark/>
          </w:tcPr>
          <w:p w14:paraId="58B0B4C5" w14:textId="77777777" w:rsidR="008D5920" w:rsidRPr="008D5920" w:rsidRDefault="008D5920" w:rsidP="008D5920">
            <w:pPr>
              <w:spacing w:after="0" w:line="240" w:lineRule="auto"/>
              <w:jc w:val="center"/>
              <w:rPr>
                <w:rFonts w:ascii="Calibri" w:eastAsia="Times New Roman" w:hAnsi="Calibri" w:cs="Calibri"/>
                <w:b/>
                <w:bCs/>
                <w:color w:val="FFFFFF"/>
                <w:szCs w:val="21"/>
                <w:lang w:eastAsia="cs-CZ"/>
              </w:rPr>
            </w:pPr>
            <w:r w:rsidRPr="008D5920">
              <w:rPr>
                <w:rFonts w:ascii="Calibri" w:eastAsia="Times New Roman" w:hAnsi="Calibri" w:cs="Calibri"/>
                <w:b/>
                <w:bCs/>
                <w:color w:val="FFFFFF"/>
                <w:szCs w:val="21"/>
                <w:lang w:eastAsia="cs-CZ"/>
              </w:rPr>
              <w:t>2021/</w:t>
            </w:r>
            <w:r w:rsidRPr="008D5920">
              <w:rPr>
                <w:rFonts w:ascii="Calibri" w:eastAsia="Times New Roman" w:hAnsi="Calibri" w:cs="Calibri"/>
                <w:b/>
                <w:bCs/>
                <w:color w:val="FFFFFF"/>
                <w:szCs w:val="21"/>
                <w:lang w:eastAsia="cs-CZ"/>
              </w:rPr>
              <w:br/>
              <w:t>2020</w:t>
            </w:r>
          </w:p>
        </w:tc>
        <w:tc>
          <w:tcPr>
            <w:tcW w:w="1000" w:type="dxa"/>
            <w:tcBorders>
              <w:top w:val="single" w:sz="8" w:space="0" w:color="4F81BD"/>
              <w:left w:val="nil"/>
              <w:bottom w:val="nil"/>
              <w:right w:val="nil"/>
            </w:tcBorders>
            <w:shd w:val="clear" w:color="000000" w:fill="6691C6"/>
            <w:vAlign w:val="center"/>
            <w:hideMark/>
          </w:tcPr>
          <w:p w14:paraId="0E13E055" w14:textId="77777777" w:rsidR="008D5920" w:rsidRPr="008D5920" w:rsidRDefault="008D5920" w:rsidP="008D5920">
            <w:pPr>
              <w:spacing w:after="0" w:line="240" w:lineRule="auto"/>
              <w:jc w:val="center"/>
              <w:rPr>
                <w:rFonts w:ascii="Calibri" w:eastAsia="Times New Roman" w:hAnsi="Calibri" w:cs="Calibri"/>
                <w:b/>
                <w:bCs/>
                <w:color w:val="FFFFFF"/>
                <w:szCs w:val="21"/>
                <w:lang w:eastAsia="cs-CZ"/>
              </w:rPr>
            </w:pPr>
            <w:r w:rsidRPr="008D5920">
              <w:rPr>
                <w:rFonts w:ascii="Calibri" w:eastAsia="Times New Roman" w:hAnsi="Calibri" w:cs="Calibri"/>
                <w:b/>
                <w:bCs/>
                <w:color w:val="FFFFFF"/>
                <w:szCs w:val="21"/>
                <w:lang w:eastAsia="cs-CZ"/>
              </w:rPr>
              <w:t>2022/</w:t>
            </w:r>
            <w:r w:rsidRPr="008D5920">
              <w:rPr>
                <w:rFonts w:ascii="Calibri" w:eastAsia="Times New Roman" w:hAnsi="Calibri" w:cs="Calibri"/>
                <w:b/>
                <w:bCs/>
                <w:color w:val="FFFFFF"/>
                <w:szCs w:val="21"/>
                <w:lang w:eastAsia="cs-CZ"/>
              </w:rPr>
              <w:br/>
              <w:t>2021</w:t>
            </w:r>
          </w:p>
        </w:tc>
        <w:tc>
          <w:tcPr>
            <w:tcW w:w="1000" w:type="dxa"/>
            <w:tcBorders>
              <w:top w:val="single" w:sz="8" w:space="0" w:color="4F81BD"/>
              <w:left w:val="nil"/>
              <w:bottom w:val="nil"/>
              <w:right w:val="nil"/>
            </w:tcBorders>
            <w:shd w:val="clear" w:color="000000" w:fill="4F81BD"/>
            <w:vAlign w:val="center"/>
            <w:hideMark/>
          </w:tcPr>
          <w:p w14:paraId="2B91CC89" w14:textId="77777777" w:rsidR="008D5920" w:rsidRPr="008D5920" w:rsidRDefault="008D5920" w:rsidP="008D5920">
            <w:pPr>
              <w:spacing w:after="0" w:line="240" w:lineRule="auto"/>
              <w:jc w:val="center"/>
              <w:rPr>
                <w:rFonts w:ascii="Calibri" w:eastAsia="Times New Roman" w:hAnsi="Calibri" w:cs="Calibri"/>
                <w:b/>
                <w:bCs/>
                <w:color w:val="FFFFFF"/>
                <w:szCs w:val="21"/>
                <w:lang w:eastAsia="cs-CZ"/>
              </w:rPr>
            </w:pPr>
            <w:r w:rsidRPr="008D5920">
              <w:rPr>
                <w:rFonts w:ascii="Calibri" w:eastAsia="Times New Roman" w:hAnsi="Calibri" w:cs="Calibri"/>
                <w:b/>
                <w:bCs/>
                <w:color w:val="FFFFFF"/>
                <w:szCs w:val="21"/>
                <w:lang w:eastAsia="cs-CZ"/>
              </w:rPr>
              <w:t>2023/</w:t>
            </w:r>
            <w:r w:rsidRPr="008D5920">
              <w:rPr>
                <w:rFonts w:ascii="Calibri" w:eastAsia="Times New Roman" w:hAnsi="Calibri" w:cs="Calibri"/>
                <w:b/>
                <w:bCs/>
                <w:color w:val="FFFFFF"/>
                <w:szCs w:val="21"/>
                <w:lang w:eastAsia="cs-CZ"/>
              </w:rPr>
              <w:br/>
              <w:t>2022</w:t>
            </w:r>
          </w:p>
        </w:tc>
        <w:tc>
          <w:tcPr>
            <w:tcW w:w="1000" w:type="dxa"/>
            <w:tcBorders>
              <w:top w:val="single" w:sz="8" w:space="0" w:color="4F81BD"/>
              <w:left w:val="nil"/>
              <w:bottom w:val="nil"/>
              <w:right w:val="single" w:sz="8" w:space="0" w:color="4F81BD"/>
            </w:tcBorders>
            <w:shd w:val="clear" w:color="000000" w:fill="6691C6"/>
            <w:vAlign w:val="center"/>
            <w:hideMark/>
          </w:tcPr>
          <w:p w14:paraId="13606B54" w14:textId="77777777" w:rsidR="008D5920" w:rsidRPr="008D5920" w:rsidRDefault="008D5920" w:rsidP="008D5920">
            <w:pPr>
              <w:spacing w:after="0" w:line="240" w:lineRule="auto"/>
              <w:jc w:val="center"/>
              <w:rPr>
                <w:rFonts w:ascii="Calibri" w:eastAsia="Times New Roman" w:hAnsi="Calibri" w:cs="Calibri"/>
                <w:b/>
                <w:bCs/>
                <w:color w:val="FFFFFF"/>
                <w:szCs w:val="21"/>
                <w:lang w:eastAsia="cs-CZ"/>
              </w:rPr>
            </w:pPr>
            <w:r w:rsidRPr="008D5920">
              <w:rPr>
                <w:rFonts w:ascii="Calibri" w:eastAsia="Times New Roman" w:hAnsi="Calibri" w:cs="Calibri"/>
                <w:b/>
                <w:bCs/>
                <w:color w:val="FFFFFF"/>
                <w:szCs w:val="21"/>
                <w:lang w:eastAsia="cs-CZ"/>
              </w:rPr>
              <w:t>2023/</w:t>
            </w:r>
            <w:r w:rsidRPr="008D5920">
              <w:rPr>
                <w:rFonts w:ascii="Calibri" w:eastAsia="Times New Roman" w:hAnsi="Calibri" w:cs="Calibri"/>
                <w:b/>
                <w:bCs/>
                <w:color w:val="FFFFFF"/>
                <w:szCs w:val="21"/>
                <w:lang w:eastAsia="cs-CZ"/>
              </w:rPr>
              <w:br/>
              <w:t>ZPP 2023</w:t>
            </w:r>
          </w:p>
        </w:tc>
      </w:tr>
      <w:tr w:rsidR="008D5920" w:rsidRPr="008D5920" w14:paraId="684586E6" w14:textId="77777777" w:rsidTr="008D5920">
        <w:trPr>
          <w:trHeight w:val="559"/>
        </w:trPr>
        <w:tc>
          <w:tcPr>
            <w:tcW w:w="2080" w:type="dxa"/>
            <w:tcBorders>
              <w:top w:val="nil"/>
              <w:left w:val="single" w:sz="8" w:space="0" w:color="4F81BD"/>
              <w:bottom w:val="nil"/>
              <w:right w:val="nil"/>
            </w:tcBorders>
            <w:shd w:val="clear" w:color="auto" w:fill="auto"/>
            <w:vAlign w:val="bottom"/>
            <w:hideMark/>
          </w:tcPr>
          <w:p w14:paraId="719A6B09" w14:textId="77777777" w:rsidR="008D5920" w:rsidRPr="008D5920" w:rsidRDefault="008D5920" w:rsidP="008D5920">
            <w:pPr>
              <w:spacing w:after="0" w:line="240" w:lineRule="auto"/>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 xml:space="preserve">Náklady na </w:t>
            </w:r>
            <w:r w:rsidRPr="008D5920">
              <w:rPr>
                <w:rFonts w:ascii="Calibri" w:eastAsia="Times New Roman" w:hAnsi="Calibri" w:cs="Calibri"/>
                <w:b/>
                <w:bCs/>
                <w:color w:val="000000"/>
                <w:szCs w:val="21"/>
                <w:lang w:eastAsia="cs-CZ"/>
              </w:rPr>
              <w:br/>
              <w:t>ambulantní péči</w:t>
            </w:r>
          </w:p>
        </w:tc>
        <w:tc>
          <w:tcPr>
            <w:tcW w:w="1000" w:type="dxa"/>
            <w:tcBorders>
              <w:top w:val="nil"/>
              <w:left w:val="nil"/>
              <w:bottom w:val="nil"/>
              <w:right w:val="nil"/>
            </w:tcBorders>
            <w:shd w:val="clear" w:color="000000" w:fill="DCE6F1"/>
            <w:noWrap/>
            <w:vAlign w:val="bottom"/>
            <w:hideMark/>
          </w:tcPr>
          <w:p w14:paraId="4C091E3F"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104,0</w:t>
            </w:r>
          </w:p>
        </w:tc>
        <w:tc>
          <w:tcPr>
            <w:tcW w:w="1000" w:type="dxa"/>
            <w:tcBorders>
              <w:top w:val="nil"/>
              <w:left w:val="nil"/>
              <w:bottom w:val="nil"/>
              <w:right w:val="nil"/>
            </w:tcBorders>
            <w:shd w:val="clear" w:color="auto" w:fill="auto"/>
            <w:noWrap/>
            <w:vAlign w:val="bottom"/>
            <w:hideMark/>
          </w:tcPr>
          <w:p w14:paraId="14DA38F9"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110,6</w:t>
            </w:r>
          </w:p>
        </w:tc>
        <w:tc>
          <w:tcPr>
            <w:tcW w:w="1000" w:type="dxa"/>
            <w:tcBorders>
              <w:top w:val="nil"/>
              <w:left w:val="nil"/>
              <w:bottom w:val="nil"/>
              <w:right w:val="nil"/>
            </w:tcBorders>
            <w:shd w:val="clear" w:color="000000" w:fill="DCE6F1"/>
            <w:noWrap/>
            <w:vAlign w:val="bottom"/>
            <w:hideMark/>
          </w:tcPr>
          <w:p w14:paraId="12C85305"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121,2</w:t>
            </w:r>
          </w:p>
        </w:tc>
        <w:tc>
          <w:tcPr>
            <w:tcW w:w="1000" w:type="dxa"/>
            <w:tcBorders>
              <w:top w:val="nil"/>
              <w:left w:val="nil"/>
              <w:bottom w:val="nil"/>
              <w:right w:val="nil"/>
            </w:tcBorders>
            <w:shd w:val="clear" w:color="auto" w:fill="auto"/>
            <w:noWrap/>
            <w:vAlign w:val="bottom"/>
            <w:hideMark/>
          </w:tcPr>
          <w:p w14:paraId="2A25A0E3"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108,8</w:t>
            </w:r>
          </w:p>
        </w:tc>
        <w:tc>
          <w:tcPr>
            <w:tcW w:w="1000" w:type="dxa"/>
            <w:tcBorders>
              <w:top w:val="nil"/>
              <w:left w:val="nil"/>
              <w:bottom w:val="nil"/>
              <w:right w:val="nil"/>
            </w:tcBorders>
            <w:shd w:val="clear" w:color="000000" w:fill="DCE6F1"/>
            <w:noWrap/>
            <w:vAlign w:val="bottom"/>
            <w:hideMark/>
          </w:tcPr>
          <w:p w14:paraId="0099F58B"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104,3</w:t>
            </w:r>
          </w:p>
        </w:tc>
        <w:tc>
          <w:tcPr>
            <w:tcW w:w="1000" w:type="dxa"/>
            <w:tcBorders>
              <w:top w:val="nil"/>
              <w:left w:val="nil"/>
              <w:bottom w:val="nil"/>
              <w:right w:val="nil"/>
            </w:tcBorders>
            <w:shd w:val="clear" w:color="000000" w:fill="DCE6F1"/>
            <w:noWrap/>
            <w:vAlign w:val="bottom"/>
            <w:hideMark/>
          </w:tcPr>
          <w:p w14:paraId="2D6D7724"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109,4</w:t>
            </w:r>
          </w:p>
        </w:tc>
        <w:tc>
          <w:tcPr>
            <w:tcW w:w="1000" w:type="dxa"/>
            <w:tcBorders>
              <w:top w:val="nil"/>
              <w:left w:val="nil"/>
              <w:bottom w:val="nil"/>
              <w:right w:val="nil"/>
            </w:tcBorders>
            <w:shd w:val="clear" w:color="000000" w:fill="DCE6F1"/>
            <w:noWrap/>
            <w:vAlign w:val="bottom"/>
            <w:hideMark/>
          </w:tcPr>
          <w:p w14:paraId="5B8068E9"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101,4</w:t>
            </w:r>
          </w:p>
        </w:tc>
      </w:tr>
      <w:tr w:rsidR="008D5920" w:rsidRPr="008D5920" w14:paraId="49275EDA" w14:textId="77777777" w:rsidTr="008D5920">
        <w:trPr>
          <w:trHeight w:val="559"/>
        </w:trPr>
        <w:tc>
          <w:tcPr>
            <w:tcW w:w="2080" w:type="dxa"/>
            <w:tcBorders>
              <w:top w:val="nil"/>
              <w:left w:val="single" w:sz="8" w:space="0" w:color="4F81BD"/>
              <w:bottom w:val="nil"/>
              <w:right w:val="nil"/>
            </w:tcBorders>
            <w:shd w:val="clear" w:color="000000" w:fill="EEF3F8"/>
            <w:vAlign w:val="bottom"/>
            <w:hideMark/>
          </w:tcPr>
          <w:p w14:paraId="4E551C64" w14:textId="77777777" w:rsidR="008D5920" w:rsidRPr="008D5920" w:rsidRDefault="008D5920" w:rsidP="008D5920">
            <w:pPr>
              <w:spacing w:after="0" w:line="240" w:lineRule="auto"/>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 xml:space="preserve">Náklady na </w:t>
            </w:r>
            <w:r w:rsidRPr="008D5920">
              <w:rPr>
                <w:rFonts w:ascii="Calibri" w:eastAsia="Times New Roman" w:hAnsi="Calibri" w:cs="Calibri"/>
                <w:b/>
                <w:bCs/>
                <w:color w:val="000000"/>
                <w:szCs w:val="21"/>
                <w:lang w:eastAsia="cs-CZ"/>
              </w:rPr>
              <w:br/>
              <w:t>lůžkovou péči</w:t>
            </w:r>
          </w:p>
        </w:tc>
        <w:tc>
          <w:tcPr>
            <w:tcW w:w="1000" w:type="dxa"/>
            <w:tcBorders>
              <w:top w:val="nil"/>
              <w:left w:val="nil"/>
              <w:bottom w:val="nil"/>
              <w:right w:val="nil"/>
            </w:tcBorders>
            <w:shd w:val="clear" w:color="000000" w:fill="EEF3F8"/>
            <w:noWrap/>
            <w:vAlign w:val="bottom"/>
            <w:hideMark/>
          </w:tcPr>
          <w:p w14:paraId="322F0551"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108,9</w:t>
            </w:r>
          </w:p>
        </w:tc>
        <w:tc>
          <w:tcPr>
            <w:tcW w:w="1000" w:type="dxa"/>
            <w:tcBorders>
              <w:top w:val="nil"/>
              <w:left w:val="nil"/>
              <w:bottom w:val="nil"/>
              <w:right w:val="nil"/>
            </w:tcBorders>
            <w:shd w:val="clear" w:color="000000" w:fill="EEF3F8"/>
            <w:noWrap/>
            <w:vAlign w:val="bottom"/>
            <w:hideMark/>
          </w:tcPr>
          <w:p w14:paraId="50EBB7DC"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109,6</w:t>
            </w:r>
          </w:p>
        </w:tc>
        <w:tc>
          <w:tcPr>
            <w:tcW w:w="1000" w:type="dxa"/>
            <w:tcBorders>
              <w:top w:val="nil"/>
              <w:left w:val="nil"/>
              <w:bottom w:val="nil"/>
              <w:right w:val="nil"/>
            </w:tcBorders>
            <w:shd w:val="clear" w:color="000000" w:fill="EEF3F8"/>
            <w:noWrap/>
            <w:vAlign w:val="bottom"/>
            <w:hideMark/>
          </w:tcPr>
          <w:p w14:paraId="7DF95F0A"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116,2</w:t>
            </w:r>
          </w:p>
        </w:tc>
        <w:tc>
          <w:tcPr>
            <w:tcW w:w="1000" w:type="dxa"/>
            <w:tcBorders>
              <w:top w:val="nil"/>
              <w:left w:val="nil"/>
              <w:bottom w:val="nil"/>
              <w:right w:val="nil"/>
            </w:tcBorders>
            <w:shd w:val="clear" w:color="000000" w:fill="EEF3F8"/>
            <w:noWrap/>
            <w:vAlign w:val="bottom"/>
            <w:hideMark/>
          </w:tcPr>
          <w:p w14:paraId="62C006F4"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115,9</w:t>
            </w:r>
          </w:p>
        </w:tc>
        <w:tc>
          <w:tcPr>
            <w:tcW w:w="1000" w:type="dxa"/>
            <w:tcBorders>
              <w:top w:val="nil"/>
              <w:left w:val="nil"/>
              <w:bottom w:val="nil"/>
              <w:right w:val="nil"/>
            </w:tcBorders>
            <w:shd w:val="clear" w:color="000000" w:fill="EEF3F8"/>
            <w:noWrap/>
            <w:vAlign w:val="bottom"/>
            <w:hideMark/>
          </w:tcPr>
          <w:p w14:paraId="7BD7B673"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103,4</w:t>
            </w:r>
          </w:p>
        </w:tc>
        <w:tc>
          <w:tcPr>
            <w:tcW w:w="1000" w:type="dxa"/>
            <w:tcBorders>
              <w:top w:val="nil"/>
              <w:left w:val="nil"/>
              <w:bottom w:val="nil"/>
              <w:right w:val="nil"/>
            </w:tcBorders>
            <w:shd w:val="clear" w:color="000000" w:fill="EEF3F8"/>
            <w:noWrap/>
            <w:vAlign w:val="bottom"/>
            <w:hideMark/>
          </w:tcPr>
          <w:p w14:paraId="1D7F44A1"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109,2</w:t>
            </w:r>
          </w:p>
        </w:tc>
        <w:tc>
          <w:tcPr>
            <w:tcW w:w="1000" w:type="dxa"/>
            <w:tcBorders>
              <w:top w:val="nil"/>
              <w:left w:val="nil"/>
              <w:bottom w:val="nil"/>
              <w:right w:val="nil"/>
            </w:tcBorders>
            <w:shd w:val="clear" w:color="000000" w:fill="DCE6F1"/>
            <w:noWrap/>
            <w:vAlign w:val="bottom"/>
            <w:hideMark/>
          </w:tcPr>
          <w:p w14:paraId="367888DD"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99,4</w:t>
            </w:r>
          </w:p>
        </w:tc>
      </w:tr>
      <w:tr w:rsidR="008D5920" w:rsidRPr="008D5920" w14:paraId="3F32B038" w14:textId="77777777" w:rsidTr="008D5920">
        <w:trPr>
          <w:trHeight w:val="300"/>
        </w:trPr>
        <w:tc>
          <w:tcPr>
            <w:tcW w:w="2080" w:type="dxa"/>
            <w:tcBorders>
              <w:top w:val="nil"/>
              <w:left w:val="single" w:sz="8" w:space="0" w:color="4F81BD"/>
              <w:bottom w:val="nil"/>
              <w:right w:val="nil"/>
            </w:tcBorders>
            <w:shd w:val="clear" w:color="auto" w:fill="auto"/>
            <w:vAlign w:val="bottom"/>
            <w:hideMark/>
          </w:tcPr>
          <w:p w14:paraId="066E9F80" w14:textId="77777777" w:rsidR="008D5920" w:rsidRPr="008D5920" w:rsidRDefault="008D5920" w:rsidP="008D5920">
            <w:pPr>
              <w:spacing w:after="0" w:line="240" w:lineRule="auto"/>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Ostatní náklady</w:t>
            </w:r>
          </w:p>
        </w:tc>
        <w:tc>
          <w:tcPr>
            <w:tcW w:w="1000" w:type="dxa"/>
            <w:tcBorders>
              <w:top w:val="nil"/>
              <w:left w:val="nil"/>
              <w:bottom w:val="nil"/>
              <w:right w:val="nil"/>
            </w:tcBorders>
            <w:shd w:val="clear" w:color="000000" w:fill="DCE6F1"/>
            <w:noWrap/>
            <w:vAlign w:val="bottom"/>
            <w:hideMark/>
          </w:tcPr>
          <w:p w14:paraId="5CE99DDB"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104,5</w:t>
            </w:r>
          </w:p>
        </w:tc>
        <w:tc>
          <w:tcPr>
            <w:tcW w:w="1000" w:type="dxa"/>
            <w:tcBorders>
              <w:top w:val="nil"/>
              <w:left w:val="nil"/>
              <w:bottom w:val="nil"/>
              <w:right w:val="nil"/>
            </w:tcBorders>
            <w:shd w:val="clear" w:color="auto" w:fill="auto"/>
            <w:noWrap/>
            <w:vAlign w:val="bottom"/>
            <w:hideMark/>
          </w:tcPr>
          <w:p w14:paraId="0959C8C8"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105,2</w:t>
            </w:r>
          </w:p>
        </w:tc>
        <w:tc>
          <w:tcPr>
            <w:tcW w:w="1000" w:type="dxa"/>
            <w:tcBorders>
              <w:top w:val="nil"/>
              <w:left w:val="nil"/>
              <w:bottom w:val="nil"/>
              <w:right w:val="nil"/>
            </w:tcBorders>
            <w:shd w:val="clear" w:color="000000" w:fill="DCE6F1"/>
            <w:noWrap/>
            <w:vAlign w:val="bottom"/>
            <w:hideMark/>
          </w:tcPr>
          <w:p w14:paraId="54785B8D"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105,1</w:t>
            </w:r>
          </w:p>
        </w:tc>
        <w:tc>
          <w:tcPr>
            <w:tcW w:w="1000" w:type="dxa"/>
            <w:tcBorders>
              <w:top w:val="nil"/>
              <w:left w:val="nil"/>
              <w:bottom w:val="nil"/>
              <w:right w:val="nil"/>
            </w:tcBorders>
            <w:shd w:val="clear" w:color="auto" w:fill="auto"/>
            <w:noWrap/>
            <w:vAlign w:val="bottom"/>
            <w:hideMark/>
          </w:tcPr>
          <w:p w14:paraId="285D0139"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108,5</w:t>
            </w:r>
          </w:p>
        </w:tc>
        <w:tc>
          <w:tcPr>
            <w:tcW w:w="1000" w:type="dxa"/>
            <w:tcBorders>
              <w:top w:val="nil"/>
              <w:left w:val="nil"/>
              <w:bottom w:val="nil"/>
              <w:right w:val="nil"/>
            </w:tcBorders>
            <w:shd w:val="clear" w:color="000000" w:fill="DCE6F1"/>
            <w:noWrap/>
            <w:vAlign w:val="bottom"/>
            <w:hideMark/>
          </w:tcPr>
          <w:p w14:paraId="1304A8BF"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101,6</w:t>
            </w:r>
          </w:p>
        </w:tc>
        <w:tc>
          <w:tcPr>
            <w:tcW w:w="1000" w:type="dxa"/>
            <w:tcBorders>
              <w:top w:val="nil"/>
              <w:left w:val="nil"/>
              <w:bottom w:val="nil"/>
              <w:right w:val="nil"/>
            </w:tcBorders>
            <w:shd w:val="clear" w:color="000000" w:fill="DCE6F1"/>
            <w:noWrap/>
            <w:vAlign w:val="bottom"/>
            <w:hideMark/>
          </w:tcPr>
          <w:p w14:paraId="34CA7457"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108,5</w:t>
            </w:r>
          </w:p>
        </w:tc>
        <w:tc>
          <w:tcPr>
            <w:tcW w:w="1000" w:type="dxa"/>
            <w:tcBorders>
              <w:top w:val="nil"/>
              <w:left w:val="nil"/>
              <w:bottom w:val="nil"/>
              <w:right w:val="nil"/>
            </w:tcBorders>
            <w:shd w:val="clear" w:color="000000" w:fill="DCE6F1"/>
            <w:noWrap/>
            <w:vAlign w:val="bottom"/>
            <w:hideMark/>
          </w:tcPr>
          <w:p w14:paraId="55DDF5FC"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97,8</w:t>
            </w:r>
          </w:p>
        </w:tc>
      </w:tr>
      <w:tr w:rsidR="008D5920" w:rsidRPr="008D5920" w14:paraId="228611FA" w14:textId="77777777" w:rsidTr="008D5920">
        <w:trPr>
          <w:trHeight w:val="300"/>
        </w:trPr>
        <w:tc>
          <w:tcPr>
            <w:tcW w:w="2080" w:type="dxa"/>
            <w:tcBorders>
              <w:top w:val="nil"/>
              <w:left w:val="single" w:sz="8" w:space="0" w:color="4F81BD"/>
              <w:bottom w:val="single" w:sz="8" w:space="0" w:color="4F81BD"/>
              <w:right w:val="nil"/>
            </w:tcBorders>
            <w:shd w:val="clear" w:color="000000" w:fill="EEF3F8"/>
            <w:vAlign w:val="bottom"/>
            <w:hideMark/>
          </w:tcPr>
          <w:p w14:paraId="169F2EDC" w14:textId="77777777" w:rsidR="008D5920" w:rsidRPr="008D5920" w:rsidRDefault="008D5920" w:rsidP="008D5920">
            <w:pPr>
              <w:spacing w:after="0" w:line="240" w:lineRule="auto"/>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Celkové náklady</w:t>
            </w:r>
          </w:p>
        </w:tc>
        <w:tc>
          <w:tcPr>
            <w:tcW w:w="1000" w:type="dxa"/>
            <w:tcBorders>
              <w:top w:val="nil"/>
              <w:left w:val="nil"/>
              <w:bottom w:val="single" w:sz="8" w:space="0" w:color="4F81BD"/>
              <w:right w:val="nil"/>
            </w:tcBorders>
            <w:shd w:val="clear" w:color="000000" w:fill="EEF3F8"/>
            <w:noWrap/>
            <w:vAlign w:val="bottom"/>
            <w:hideMark/>
          </w:tcPr>
          <w:p w14:paraId="73D57194" w14:textId="77777777" w:rsidR="008D5920" w:rsidRPr="008D5920" w:rsidRDefault="008D5920" w:rsidP="008D5920">
            <w:pPr>
              <w:spacing w:after="0" w:line="240" w:lineRule="auto"/>
              <w:jc w:val="right"/>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106,8</w:t>
            </w:r>
          </w:p>
        </w:tc>
        <w:tc>
          <w:tcPr>
            <w:tcW w:w="1000" w:type="dxa"/>
            <w:tcBorders>
              <w:top w:val="nil"/>
              <w:left w:val="nil"/>
              <w:bottom w:val="single" w:sz="8" w:space="0" w:color="4F81BD"/>
              <w:right w:val="nil"/>
            </w:tcBorders>
            <w:shd w:val="clear" w:color="000000" w:fill="EEF3F8"/>
            <w:noWrap/>
            <w:vAlign w:val="bottom"/>
            <w:hideMark/>
          </w:tcPr>
          <w:p w14:paraId="5E733BCA" w14:textId="77777777" w:rsidR="008D5920" w:rsidRPr="008D5920" w:rsidRDefault="008D5920" w:rsidP="008D5920">
            <w:pPr>
              <w:spacing w:after="0" w:line="240" w:lineRule="auto"/>
              <w:jc w:val="right"/>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109,0</w:t>
            </w:r>
          </w:p>
        </w:tc>
        <w:tc>
          <w:tcPr>
            <w:tcW w:w="1000" w:type="dxa"/>
            <w:tcBorders>
              <w:top w:val="nil"/>
              <w:left w:val="nil"/>
              <w:bottom w:val="single" w:sz="8" w:space="0" w:color="4F81BD"/>
              <w:right w:val="nil"/>
            </w:tcBorders>
            <w:shd w:val="clear" w:color="000000" w:fill="EEF3F8"/>
            <w:noWrap/>
            <w:vAlign w:val="bottom"/>
            <w:hideMark/>
          </w:tcPr>
          <w:p w14:paraId="05C9AC7F" w14:textId="77777777" w:rsidR="008D5920" w:rsidRPr="008D5920" w:rsidRDefault="008D5920" w:rsidP="008D5920">
            <w:pPr>
              <w:spacing w:after="0" w:line="240" w:lineRule="auto"/>
              <w:jc w:val="right"/>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115,5</w:t>
            </w:r>
          </w:p>
        </w:tc>
        <w:tc>
          <w:tcPr>
            <w:tcW w:w="1000" w:type="dxa"/>
            <w:tcBorders>
              <w:top w:val="nil"/>
              <w:left w:val="nil"/>
              <w:bottom w:val="single" w:sz="8" w:space="0" w:color="4F81BD"/>
              <w:right w:val="nil"/>
            </w:tcBorders>
            <w:shd w:val="clear" w:color="000000" w:fill="EEF3F8"/>
            <w:noWrap/>
            <w:vAlign w:val="bottom"/>
            <w:hideMark/>
          </w:tcPr>
          <w:p w14:paraId="24EB3E22" w14:textId="77777777" w:rsidR="008D5920" w:rsidRPr="008D5920" w:rsidRDefault="008D5920" w:rsidP="008D5920">
            <w:pPr>
              <w:spacing w:after="0" w:line="240" w:lineRule="auto"/>
              <w:jc w:val="right"/>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112,7</w:t>
            </w:r>
          </w:p>
        </w:tc>
        <w:tc>
          <w:tcPr>
            <w:tcW w:w="1000" w:type="dxa"/>
            <w:tcBorders>
              <w:top w:val="nil"/>
              <w:left w:val="nil"/>
              <w:bottom w:val="single" w:sz="8" w:space="0" w:color="4F81BD"/>
              <w:right w:val="nil"/>
            </w:tcBorders>
            <w:shd w:val="clear" w:color="000000" w:fill="EEF3F8"/>
            <w:noWrap/>
            <w:vAlign w:val="bottom"/>
            <w:hideMark/>
          </w:tcPr>
          <w:p w14:paraId="6FBB6874" w14:textId="77777777" w:rsidR="008D5920" w:rsidRPr="008D5920" w:rsidRDefault="008D5920" w:rsidP="008D5920">
            <w:pPr>
              <w:spacing w:after="0" w:line="240" w:lineRule="auto"/>
              <w:jc w:val="right"/>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103,4</w:t>
            </w:r>
          </w:p>
        </w:tc>
        <w:tc>
          <w:tcPr>
            <w:tcW w:w="1000" w:type="dxa"/>
            <w:tcBorders>
              <w:top w:val="nil"/>
              <w:left w:val="nil"/>
              <w:bottom w:val="single" w:sz="8" w:space="0" w:color="4F81BD"/>
              <w:right w:val="nil"/>
            </w:tcBorders>
            <w:shd w:val="clear" w:color="000000" w:fill="EEF3F8"/>
            <w:noWrap/>
            <w:vAlign w:val="bottom"/>
            <w:hideMark/>
          </w:tcPr>
          <w:p w14:paraId="03A31CA3" w14:textId="77777777" w:rsidR="008D5920" w:rsidRPr="008D5920" w:rsidRDefault="008D5920" w:rsidP="008D5920">
            <w:pPr>
              <w:spacing w:after="0" w:line="240" w:lineRule="auto"/>
              <w:jc w:val="right"/>
              <w:rPr>
                <w:rFonts w:ascii="Calibri" w:eastAsia="Times New Roman" w:hAnsi="Calibri" w:cs="Calibri"/>
                <w:b/>
                <w:bCs/>
                <w:color w:val="000000"/>
                <w:szCs w:val="21"/>
                <w:lang w:eastAsia="cs-CZ"/>
              </w:rPr>
            </w:pPr>
            <w:r w:rsidRPr="008D5920">
              <w:rPr>
                <w:rFonts w:ascii="Calibri" w:eastAsia="Times New Roman" w:hAnsi="Calibri" w:cs="Calibri"/>
                <w:b/>
                <w:bCs/>
                <w:color w:val="000000"/>
                <w:szCs w:val="21"/>
                <w:lang w:eastAsia="cs-CZ"/>
              </w:rPr>
              <w:t>109,2</w:t>
            </w:r>
          </w:p>
        </w:tc>
        <w:tc>
          <w:tcPr>
            <w:tcW w:w="1000" w:type="dxa"/>
            <w:tcBorders>
              <w:top w:val="nil"/>
              <w:left w:val="nil"/>
              <w:bottom w:val="nil"/>
              <w:right w:val="nil"/>
            </w:tcBorders>
            <w:shd w:val="clear" w:color="000000" w:fill="DCE6F1"/>
            <w:noWrap/>
            <w:vAlign w:val="bottom"/>
            <w:hideMark/>
          </w:tcPr>
          <w:p w14:paraId="238E3B4F" w14:textId="77777777" w:rsidR="008D5920" w:rsidRPr="008D5920" w:rsidRDefault="008D5920" w:rsidP="008D5920">
            <w:pPr>
              <w:spacing w:after="0" w:line="240" w:lineRule="auto"/>
              <w:jc w:val="right"/>
              <w:rPr>
                <w:rFonts w:ascii="Calibri" w:eastAsia="Times New Roman" w:hAnsi="Calibri" w:cs="Calibri"/>
                <w:color w:val="000000"/>
                <w:szCs w:val="21"/>
                <w:lang w:eastAsia="cs-CZ"/>
              </w:rPr>
            </w:pPr>
            <w:r w:rsidRPr="008D5920">
              <w:rPr>
                <w:rFonts w:ascii="Calibri" w:eastAsia="Times New Roman" w:hAnsi="Calibri" w:cs="Calibri"/>
                <w:color w:val="000000"/>
                <w:szCs w:val="21"/>
                <w:lang w:eastAsia="cs-CZ"/>
              </w:rPr>
              <w:t>99,7</w:t>
            </w:r>
          </w:p>
        </w:tc>
      </w:tr>
    </w:tbl>
    <w:p w14:paraId="12253D73" w14:textId="77777777" w:rsidR="008D5920" w:rsidRPr="008C1EAB" w:rsidRDefault="008D5920" w:rsidP="000B73A9">
      <w:pPr>
        <w:rPr>
          <w:highlight w:val="yellow"/>
          <w:lang w:bidi="hi-IN"/>
        </w:rPr>
      </w:pPr>
    </w:p>
    <w:p w14:paraId="04C2AD82" w14:textId="7CB90729" w:rsidR="007036D6" w:rsidRPr="007905CE" w:rsidRDefault="007036D6" w:rsidP="007036D6">
      <w:pPr>
        <w:pStyle w:val="Titulek"/>
      </w:pPr>
      <w:bookmarkStart w:id="46" w:name="_Toc41837530"/>
      <w:bookmarkStart w:id="47" w:name="_Toc106884107"/>
      <w:r w:rsidRPr="007905CE">
        <w:t xml:space="preserve">Graf č. </w:t>
      </w:r>
      <w:r w:rsidR="007B6A7D">
        <w:rPr>
          <w:noProof/>
        </w:rPr>
        <w:t>11</w:t>
      </w:r>
      <w:r w:rsidRPr="007905CE">
        <w:t>: Celkové náklady na zdravotní služby ze ZFZP</w:t>
      </w:r>
      <w:bookmarkEnd w:id="46"/>
      <w:bookmarkEnd w:id="47"/>
      <w:r w:rsidRPr="007905CE">
        <w:t xml:space="preserve"> </w:t>
      </w:r>
    </w:p>
    <w:p w14:paraId="78DC6B71" w14:textId="7E0C0C9F" w:rsidR="007905CE" w:rsidRPr="008C1EAB" w:rsidRDefault="007905CE" w:rsidP="00BE4ECE">
      <w:pPr>
        <w:rPr>
          <w:highlight w:val="yellow"/>
          <w:lang w:bidi="hi-IN"/>
        </w:rPr>
      </w:pPr>
      <w:r>
        <w:rPr>
          <w:noProof/>
          <w:lang w:eastAsia="cs-CZ"/>
        </w:rPr>
        <w:drawing>
          <wp:inline distT="0" distB="0" distL="0" distR="0" wp14:anchorId="2F4D2699" wp14:editId="0B81C04D">
            <wp:extent cx="5886450" cy="2827020"/>
            <wp:effectExtent l="0" t="0" r="0" b="0"/>
            <wp:docPr id="14" name="Graf 14">
              <a:extLst xmlns:a="http://schemas.openxmlformats.org/drawingml/2006/main">
                <a:ext uri="{FF2B5EF4-FFF2-40B4-BE49-F238E27FC236}">
                  <a16:creationId xmlns:a16="http://schemas.microsoft.com/office/drawing/2014/main" id="{00000000-0008-0000-0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5E35A33" w14:textId="2D3045FE" w:rsidR="007036D6" w:rsidRPr="007905CE" w:rsidRDefault="007036D6" w:rsidP="007036D6">
      <w:pPr>
        <w:pStyle w:val="Titulek"/>
      </w:pPr>
      <w:bookmarkStart w:id="48" w:name="_Toc41837531"/>
      <w:bookmarkStart w:id="49" w:name="_Toc106884108"/>
      <w:r w:rsidRPr="007905CE">
        <w:t xml:space="preserve">Graf č. </w:t>
      </w:r>
      <w:r w:rsidR="007B6A7D">
        <w:rPr>
          <w:noProof/>
        </w:rPr>
        <w:t>12</w:t>
      </w:r>
      <w:r w:rsidRPr="007905CE">
        <w:t>: Náklady na zdravotní služby ze ZFZP podle segmentů</w:t>
      </w:r>
      <w:bookmarkEnd w:id="48"/>
      <w:bookmarkEnd w:id="49"/>
      <w:r w:rsidRPr="007905CE">
        <w:t xml:space="preserve"> </w:t>
      </w:r>
    </w:p>
    <w:p w14:paraId="4804AF5B" w14:textId="3ECF815E" w:rsidR="007905CE" w:rsidRPr="008C1EAB" w:rsidRDefault="007905CE" w:rsidP="00CC6C45">
      <w:pPr>
        <w:rPr>
          <w:highlight w:val="yellow"/>
          <w:lang w:bidi="hi-IN"/>
        </w:rPr>
      </w:pPr>
      <w:r>
        <w:rPr>
          <w:noProof/>
          <w:lang w:eastAsia="cs-CZ"/>
        </w:rPr>
        <w:drawing>
          <wp:inline distT="0" distB="0" distL="0" distR="0" wp14:anchorId="39A2BF50" wp14:editId="0D1D54CB">
            <wp:extent cx="5953125" cy="2822575"/>
            <wp:effectExtent l="0" t="0" r="0" b="0"/>
            <wp:docPr id="13" name="Graf 13">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A1018D7" w14:textId="2741CAD1" w:rsidR="007036D6" w:rsidRPr="00241A29" w:rsidRDefault="007036D6" w:rsidP="00AD2E56">
      <w:pPr>
        <w:pStyle w:val="TEXT"/>
        <w:spacing w:before="180" w:after="180" w:line="276" w:lineRule="auto"/>
        <w:ind w:firstLine="0"/>
        <w:rPr>
          <w:rFonts w:asciiTheme="minorHAnsi" w:hAnsiTheme="minorHAnsi" w:cstheme="minorHAnsi"/>
          <w:sz w:val="21"/>
          <w:szCs w:val="21"/>
        </w:rPr>
      </w:pPr>
      <w:r w:rsidRPr="00241A29">
        <w:rPr>
          <w:rFonts w:asciiTheme="minorHAnsi" w:hAnsiTheme="minorHAnsi" w:cstheme="minorHAnsi"/>
          <w:sz w:val="21"/>
          <w:szCs w:val="21"/>
        </w:rPr>
        <w:t>Z detailních podkladů jednotlivých ZP vyplývá, že u všech došlo k meziročnímu zvýšení nákladů na zdravotní služby: u VZP ČR o </w:t>
      </w:r>
      <w:r w:rsidR="003C4B89" w:rsidRPr="00241A29">
        <w:rPr>
          <w:rFonts w:asciiTheme="minorHAnsi" w:hAnsiTheme="minorHAnsi" w:cstheme="minorHAnsi"/>
          <w:sz w:val="21"/>
          <w:szCs w:val="21"/>
        </w:rPr>
        <w:t>9,6</w:t>
      </w:r>
      <w:r w:rsidRPr="00241A29">
        <w:rPr>
          <w:rFonts w:asciiTheme="minorHAnsi" w:hAnsiTheme="minorHAnsi" w:cstheme="minorHAnsi"/>
          <w:sz w:val="21"/>
          <w:szCs w:val="21"/>
        </w:rPr>
        <w:t xml:space="preserve"> %, </w:t>
      </w:r>
      <w:r w:rsidRPr="00241A29">
        <w:rPr>
          <w:rFonts w:asciiTheme="minorHAnsi" w:hAnsiTheme="minorHAnsi" w:cstheme="minorHAnsi"/>
          <w:spacing w:val="-10"/>
          <w:sz w:val="21"/>
          <w:szCs w:val="21"/>
        </w:rPr>
        <w:t>VoZP ČR o </w:t>
      </w:r>
      <w:r w:rsidR="003C4B89" w:rsidRPr="00241A29">
        <w:rPr>
          <w:rFonts w:asciiTheme="minorHAnsi" w:hAnsiTheme="minorHAnsi" w:cstheme="minorHAnsi"/>
          <w:spacing w:val="-10"/>
          <w:sz w:val="21"/>
          <w:szCs w:val="21"/>
        </w:rPr>
        <w:t>9,0</w:t>
      </w:r>
      <w:r w:rsidRPr="00241A29">
        <w:rPr>
          <w:rFonts w:asciiTheme="minorHAnsi" w:hAnsiTheme="minorHAnsi" w:cstheme="minorHAnsi"/>
          <w:spacing w:val="-10"/>
          <w:sz w:val="21"/>
          <w:szCs w:val="21"/>
        </w:rPr>
        <w:t> %, ČPZP o </w:t>
      </w:r>
      <w:r w:rsidR="004457A3" w:rsidRPr="00241A29">
        <w:rPr>
          <w:rFonts w:asciiTheme="minorHAnsi" w:hAnsiTheme="minorHAnsi" w:cstheme="minorHAnsi"/>
          <w:spacing w:val="-10"/>
          <w:sz w:val="21"/>
          <w:szCs w:val="21"/>
        </w:rPr>
        <w:t>7</w:t>
      </w:r>
      <w:r w:rsidR="00EF3BCB" w:rsidRPr="00241A29">
        <w:rPr>
          <w:rFonts w:asciiTheme="minorHAnsi" w:hAnsiTheme="minorHAnsi" w:cstheme="minorHAnsi"/>
          <w:spacing w:val="-10"/>
          <w:sz w:val="21"/>
          <w:szCs w:val="21"/>
        </w:rPr>
        <w:t>,</w:t>
      </w:r>
      <w:r w:rsidR="003C4B89" w:rsidRPr="00241A29">
        <w:rPr>
          <w:rFonts w:asciiTheme="minorHAnsi" w:hAnsiTheme="minorHAnsi" w:cstheme="minorHAnsi"/>
          <w:spacing w:val="-10"/>
          <w:sz w:val="21"/>
          <w:szCs w:val="21"/>
        </w:rPr>
        <w:t>6</w:t>
      </w:r>
      <w:r w:rsidRPr="00241A29">
        <w:rPr>
          <w:rFonts w:asciiTheme="minorHAnsi" w:hAnsiTheme="minorHAnsi" w:cstheme="minorHAnsi"/>
          <w:spacing w:val="-10"/>
          <w:sz w:val="21"/>
          <w:szCs w:val="21"/>
        </w:rPr>
        <w:t> %, OZP o </w:t>
      </w:r>
      <w:r w:rsidR="003C4B89" w:rsidRPr="00241A29">
        <w:rPr>
          <w:rFonts w:asciiTheme="minorHAnsi" w:hAnsiTheme="minorHAnsi" w:cstheme="minorHAnsi"/>
          <w:spacing w:val="-10"/>
          <w:sz w:val="21"/>
          <w:szCs w:val="21"/>
        </w:rPr>
        <w:t>7</w:t>
      </w:r>
      <w:r w:rsidR="00002B28" w:rsidRPr="00241A29">
        <w:rPr>
          <w:rFonts w:asciiTheme="minorHAnsi" w:hAnsiTheme="minorHAnsi" w:cstheme="minorHAnsi"/>
          <w:spacing w:val="-10"/>
          <w:sz w:val="21"/>
          <w:szCs w:val="21"/>
        </w:rPr>
        <w:t>,</w:t>
      </w:r>
      <w:r w:rsidR="003C4B89" w:rsidRPr="00241A29">
        <w:rPr>
          <w:rFonts w:asciiTheme="minorHAnsi" w:hAnsiTheme="minorHAnsi" w:cstheme="minorHAnsi"/>
          <w:spacing w:val="-10"/>
          <w:sz w:val="21"/>
          <w:szCs w:val="21"/>
        </w:rPr>
        <w:t>8</w:t>
      </w:r>
      <w:r w:rsidRPr="00241A29">
        <w:rPr>
          <w:rFonts w:asciiTheme="minorHAnsi" w:hAnsiTheme="minorHAnsi" w:cstheme="minorHAnsi"/>
          <w:spacing w:val="-10"/>
          <w:sz w:val="21"/>
          <w:szCs w:val="21"/>
        </w:rPr>
        <w:t> %, ZPŠ o </w:t>
      </w:r>
      <w:r w:rsidR="003C4B89" w:rsidRPr="00241A29">
        <w:rPr>
          <w:rFonts w:asciiTheme="minorHAnsi" w:hAnsiTheme="minorHAnsi" w:cstheme="minorHAnsi"/>
          <w:spacing w:val="-10"/>
          <w:sz w:val="21"/>
          <w:szCs w:val="21"/>
        </w:rPr>
        <w:t>6,5</w:t>
      </w:r>
      <w:r w:rsidRPr="00241A29">
        <w:rPr>
          <w:rFonts w:asciiTheme="minorHAnsi" w:hAnsiTheme="minorHAnsi" w:cstheme="minorHAnsi"/>
          <w:spacing w:val="-10"/>
          <w:sz w:val="21"/>
          <w:szCs w:val="21"/>
        </w:rPr>
        <w:t> %, ZP MV ČR o </w:t>
      </w:r>
      <w:r w:rsidR="00002B28" w:rsidRPr="00241A29">
        <w:rPr>
          <w:rFonts w:asciiTheme="minorHAnsi" w:hAnsiTheme="minorHAnsi" w:cstheme="minorHAnsi"/>
          <w:spacing w:val="-10"/>
          <w:sz w:val="21"/>
          <w:szCs w:val="21"/>
        </w:rPr>
        <w:t>1</w:t>
      </w:r>
      <w:r w:rsidR="00241A29" w:rsidRPr="00241A29">
        <w:rPr>
          <w:rFonts w:asciiTheme="minorHAnsi" w:hAnsiTheme="minorHAnsi" w:cstheme="minorHAnsi"/>
          <w:spacing w:val="-10"/>
          <w:sz w:val="21"/>
          <w:szCs w:val="21"/>
        </w:rPr>
        <w:t>0</w:t>
      </w:r>
      <w:r w:rsidR="00002B28" w:rsidRPr="00241A29">
        <w:rPr>
          <w:rFonts w:asciiTheme="minorHAnsi" w:hAnsiTheme="minorHAnsi" w:cstheme="minorHAnsi"/>
          <w:spacing w:val="-10"/>
          <w:sz w:val="21"/>
          <w:szCs w:val="21"/>
        </w:rPr>
        <w:t>,</w:t>
      </w:r>
      <w:r w:rsidR="00241A29" w:rsidRPr="00241A29">
        <w:rPr>
          <w:rFonts w:asciiTheme="minorHAnsi" w:hAnsiTheme="minorHAnsi" w:cstheme="minorHAnsi"/>
          <w:spacing w:val="-10"/>
          <w:sz w:val="21"/>
          <w:szCs w:val="21"/>
        </w:rPr>
        <w:t>2</w:t>
      </w:r>
      <w:r w:rsidRPr="00241A29">
        <w:rPr>
          <w:rFonts w:asciiTheme="minorHAnsi" w:hAnsiTheme="minorHAnsi" w:cstheme="minorHAnsi"/>
          <w:spacing w:val="-10"/>
          <w:sz w:val="21"/>
          <w:szCs w:val="21"/>
        </w:rPr>
        <w:t> % a RBP o </w:t>
      </w:r>
      <w:r w:rsidR="00241A29" w:rsidRPr="00241A29">
        <w:rPr>
          <w:rFonts w:asciiTheme="minorHAnsi" w:hAnsiTheme="minorHAnsi" w:cstheme="minorHAnsi"/>
          <w:spacing w:val="-10"/>
          <w:sz w:val="21"/>
          <w:szCs w:val="21"/>
        </w:rPr>
        <w:t>7</w:t>
      </w:r>
      <w:r w:rsidR="00002B28" w:rsidRPr="00241A29">
        <w:rPr>
          <w:rFonts w:asciiTheme="minorHAnsi" w:hAnsiTheme="minorHAnsi" w:cstheme="minorHAnsi"/>
          <w:spacing w:val="-10"/>
          <w:sz w:val="21"/>
          <w:szCs w:val="21"/>
        </w:rPr>
        <w:t>,</w:t>
      </w:r>
      <w:r w:rsidR="00241A29" w:rsidRPr="00241A29">
        <w:rPr>
          <w:rFonts w:asciiTheme="minorHAnsi" w:hAnsiTheme="minorHAnsi" w:cstheme="minorHAnsi"/>
          <w:spacing w:val="-10"/>
          <w:sz w:val="21"/>
          <w:szCs w:val="21"/>
        </w:rPr>
        <w:t>0</w:t>
      </w:r>
      <w:r w:rsidRPr="00241A29">
        <w:rPr>
          <w:rFonts w:asciiTheme="minorHAnsi" w:hAnsiTheme="minorHAnsi" w:cstheme="minorHAnsi"/>
          <w:sz w:val="21"/>
          <w:szCs w:val="21"/>
        </w:rPr>
        <w:t> % (</w:t>
      </w:r>
      <w:r w:rsidRPr="00241A29">
        <w:rPr>
          <w:rFonts w:asciiTheme="minorHAnsi" w:hAnsiTheme="minorHAnsi" w:cstheme="minorHAnsi"/>
          <w:i/>
          <w:sz w:val="21"/>
          <w:szCs w:val="21"/>
        </w:rPr>
        <w:t>Tabulka č. 10</w:t>
      </w:r>
      <w:r w:rsidRPr="00241A29">
        <w:rPr>
          <w:rFonts w:asciiTheme="minorHAnsi" w:hAnsiTheme="minorHAnsi" w:cstheme="minorHAnsi"/>
          <w:sz w:val="21"/>
          <w:szCs w:val="21"/>
        </w:rPr>
        <w:t>).</w:t>
      </w:r>
    </w:p>
    <w:p w14:paraId="0695E9A5" w14:textId="507A9B52" w:rsidR="007036D6" w:rsidRPr="005F5ACA" w:rsidRDefault="000E7F13" w:rsidP="0021299E">
      <w:pPr>
        <w:pStyle w:val="Titulek"/>
        <w:jc w:val="both"/>
      </w:pPr>
      <w:bookmarkStart w:id="50" w:name="_Toc41837502"/>
      <w:bookmarkStart w:id="51" w:name="_Toc168993235"/>
      <w:r w:rsidRPr="005F5ACA">
        <w:t xml:space="preserve">Tabulka č. </w:t>
      </w:r>
      <w:r w:rsidRPr="005F5ACA">
        <w:rPr>
          <w:noProof/>
        </w:rPr>
        <w:fldChar w:fldCharType="begin"/>
      </w:r>
      <w:r w:rsidRPr="005F5ACA">
        <w:rPr>
          <w:noProof/>
        </w:rPr>
        <w:instrText xml:space="preserve"> SEQ Tabulka \* ARABIC </w:instrText>
      </w:r>
      <w:r w:rsidRPr="005F5ACA">
        <w:rPr>
          <w:noProof/>
        </w:rPr>
        <w:fldChar w:fldCharType="separate"/>
      </w:r>
      <w:r w:rsidR="00904274">
        <w:rPr>
          <w:noProof/>
        </w:rPr>
        <w:t>10</w:t>
      </w:r>
      <w:r w:rsidRPr="005F5ACA">
        <w:rPr>
          <w:noProof/>
        </w:rPr>
        <w:fldChar w:fldCharType="end"/>
      </w:r>
      <w:r w:rsidRPr="005F5ACA">
        <w:t xml:space="preserve">: Náklady na zdravotní služby </w:t>
      </w:r>
      <w:r w:rsidR="003D4982" w:rsidRPr="005F5ACA">
        <w:t xml:space="preserve">ze ZFZP </w:t>
      </w:r>
      <w:r w:rsidRPr="005F5ACA">
        <w:t>podle segmentů a zdravotních pojišťoven v roce 20</w:t>
      </w:r>
      <w:r w:rsidR="00CC6C45" w:rsidRPr="005F5ACA">
        <w:t>2</w:t>
      </w:r>
      <w:bookmarkEnd w:id="50"/>
      <w:r w:rsidR="005F5ACA">
        <w:t>3</w:t>
      </w:r>
      <w:bookmarkEnd w:id="51"/>
    </w:p>
    <w:tbl>
      <w:tblPr>
        <w:tblW w:w="9080" w:type="dxa"/>
        <w:tblCellMar>
          <w:left w:w="70" w:type="dxa"/>
          <w:right w:w="70" w:type="dxa"/>
        </w:tblCellMar>
        <w:tblLook w:val="04A0" w:firstRow="1" w:lastRow="0" w:firstColumn="1" w:lastColumn="0" w:noHBand="0" w:noVBand="1"/>
      </w:tblPr>
      <w:tblGrid>
        <w:gridCol w:w="2080"/>
        <w:gridCol w:w="1000"/>
        <w:gridCol w:w="1000"/>
        <w:gridCol w:w="1000"/>
        <w:gridCol w:w="1000"/>
        <w:gridCol w:w="1000"/>
        <w:gridCol w:w="1000"/>
        <w:gridCol w:w="1000"/>
      </w:tblGrid>
      <w:tr w:rsidR="007905CE" w:rsidRPr="007905CE" w14:paraId="5031BFC5" w14:textId="77777777" w:rsidTr="007905CE">
        <w:trPr>
          <w:trHeight w:val="600"/>
        </w:trPr>
        <w:tc>
          <w:tcPr>
            <w:tcW w:w="2080" w:type="dxa"/>
            <w:tcBorders>
              <w:top w:val="single" w:sz="8" w:space="0" w:color="4F81BD"/>
              <w:left w:val="single" w:sz="8" w:space="0" w:color="4F81BD"/>
              <w:bottom w:val="nil"/>
              <w:right w:val="nil"/>
            </w:tcBorders>
            <w:shd w:val="clear" w:color="000000" w:fill="4F81BD"/>
            <w:hideMark/>
          </w:tcPr>
          <w:p w14:paraId="73936A61" w14:textId="77777777" w:rsidR="007905CE" w:rsidRPr="007905CE" w:rsidRDefault="007905CE" w:rsidP="007905CE">
            <w:pPr>
              <w:spacing w:after="0" w:line="240" w:lineRule="auto"/>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Ukazatel</w:t>
            </w:r>
            <w:r w:rsidRPr="007905CE">
              <w:rPr>
                <w:rFonts w:ascii="Calibri" w:eastAsia="Times New Roman" w:hAnsi="Calibri" w:cs="Calibri"/>
                <w:b/>
                <w:bCs/>
                <w:color w:val="FFFFFF"/>
                <w:szCs w:val="21"/>
                <w:lang w:eastAsia="cs-CZ"/>
              </w:rPr>
              <w:br/>
            </w:r>
            <w:r w:rsidRPr="007905CE">
              <w:rPr>
                <w:rFonts w:ascii="Calibri" w:eastAsia="Times New Roman" w:hAnsi="Calibri" w:cs="Calibri"/>
                <w:color w:val="FFFFFF"/>
                <w:szCs w:val="21"/>
                <w:lang w:eastAsia="cs-CZ"/>
              </w:rPr>
              <w:t>(v mil. Kč)</w:t>
            </w:r>
          </w:p>
        </w:tc>
        <w:tc>
          <w:tcPr>
            <w:tcW w:w="1000" w:type="dxa"/>
            <w:tcBorders>
              <w:top w:val="single" w:sz="8" w:space="0" w:color="4F81BD"/>
              <w:left w:val="nil"/>
              <w:bottom w:val="nil"/>
              <w:right w:val="nil"/>
            </w:tcBorders>
            <w:shd w:val="clear" w:color="000000" w:fill="6691C6"/>
            <w:noWrap/>
            <w:vAlign w:val="center"/>
            <w:hideMark/>
          </w:tcPr>
          <w:p w14:paraId="7964F1F6" w14:textId="77777777" w:rsidR="007905CE" w:rsidRPr="007905CE" w:rsidRDefault="007905CE" w:rsidP="007905CE">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VZP ČR</w:t>
            </w:r>
          </w:p>
        </w:tc>
        <w:tc>
          <w:tcPr>
            <w:tcW w:w="1000" w:type="dxa"/>
            <w:tcBorders>
              <w:top w:val="single" w:sz="8" w:space="0" w:color="4F81BD"/>
              <w:left w:val="nil"/>
              <w:bottom w:val="nil"/>
              <w:right w:val="nil"/>
            </w:tcBorders>
            <w:shd w:val="clear" w:color="000000" w:fill="4F81BD"/>
            <w:noWrap/>
            <w:vAlign w:val="center"/>
            <w:hideMark/>
          </w:tcPr>
          <w:p w14:paraId="30A36BC5" w14:textId="77777777" w:rsidR="007905CE" w:rsidRPr="007905CE" w:rsidRDefault="007905CE" w:rsidP="007905CE">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VoZP ČR</w:t>
            </w:r>
          </w:p>
        </w:tc>
        <w:tc>
          <w:tcPr>
            <w:tcW w:w="1000" w:type="dxa"/>
            <w:tcBorders>
              <w:top w:val="single" w:sz="8" w:space="0" w:color="4F81BD"/>
              <w:left w:val="nil"/>
              <w:bottom w:val="nil"/>
              <w:right w:val="nil"/>
            </w:tcBorders>
            <w:shd w:val="clear" w:color="000000" w:fill="6691C6"/>
            <w:noWrap/>
            <w:vAlign w:val="center"/>
            <w:hideMark/>
          </w:tcPr>
          <w:p w14:paraId="086A32B8" w14:textId="77777777" w:rsidR="007905CE" w:rsidRPr="007905CE" w:rsidRDefault="007905CE" w:rsidP="007905CE">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ČPZP</w:t>
            </w:r>
          </w:p>
        </w:tc>
        <w:tc>
          <w:tcPr>
            <w:tcW w:w="1000" w:type="dxa"/>
            <w:tcBorders>
              <w:top w:val="single" w:sz="8" w:space="0" w:color="4F81BD"/>
              <w:left w:val="nil"/>
              <w:bottom w:val="nil"/>
              <w:right w:val="nil"/>
            </w:tcBorders>
            <w:shd w:val="clear" w:color="000000" w:fill="4F81BD"/>
            <w:noWrap/>
            <w:vAlign w:val="center"/>
            <w:hideMark/>
          </w:tcPr>
          <w:p w14:paraId="6D2881A0" w14:textId="77777777" w:rsidR="007905CE" w:rsidRPr="007905CE" w:rsidRDefault="007905CE" w:rsidP="007905CE">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OZP</w:t>
            </w:r>
          </w:p>
        </w:tc>
        <w:tc>
          <w:tcPr>
            <w:tcW w:w="1000" w:type="dxa"/>
            <w:tcBorders>
              <w:top w:val="single" w:sz="8" w:space="0" w:color="4F81BD"/>
              <w:left w:val="nil"/>
              <w:bottom w:val="nil"/>
              <w:right w:val="nil"/>
            </w:tcBorders>
            <w:shd w:val="clear" w:color="000000" w:fill="6691C6"/>
            <w:noWrap/>
            <w:vAlign w:val="center"/>
            <w:hideMark/>
          </w:tcPr>
          <w:p w14:paraId="4601CD96" w14:textId="77777777" w:rsidR="007905CE" w:rsidRPr="007905CE" w:rsidRDefault="007905CE" w:rsidP="007905CE">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ZPŠ</w:t>
            </w:r>
          </w:p>
        </w:tc>
        <w:tc>
          <w:tcPr>
            <w:tcW w:w="1000" w:type="dxa"/>
            <w:tcBorders>
              <w:top w:val="single" w:sz="8" w:space="0" w:color="4F81BD"/>
              <w:left w:val="nil"/>
              <w:bottom w:val="nil"/>
              <w:right w:val="nil"/>
            </w:tcBorders>
            <w:shd w:val="clear" w:color="000000" w:fill="4F81BD"/>
            <w:noWrap/>
            <w:vAlign w:val="center"/>
            <w:hideMark/>
          </w:tcPr>
          <w:p w14:paraId="4E38D413" w14:textId="77777777" w:rsidR="007905CE" w:rsidRPr="007905CE" w:rsidRDefault="007905CE" w:rsidP="007905CE">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ZP MV ČR</w:t>
            </w:r>
          </w:p>
        </w:tc>
        <w:tc>
          <w:tcPr>
            <w:tcW w:w="1000" w:type="dxa"/>
            <w:tcBorders>
              <w:top w:val="single" w:sz="8" w:space="0" w:color="4F81BD"/>
              <w:left w:val="nil"/>
              <w:bottom w:val="nil"/>
              <w:right w:val="single" w:sz="8" w:space="0" w:color="4F81BD"/>
            </w:tcBorders>
            <w:shd w:val="clear" w:color="000000" w:fill="6691C6"/>
            <w:noWrap/>
            <w:vAlign w:val="center"/>
            <w:hideMark/>
          </w:tcPr>
          <w:p w14:paraId="752CBBE9" w14:textId="77777777" w:rsidR="007905CE" w:rsidRPr="007905CE" w:rsidRDefault="007905CE" w:rsidP="007905CE">
            <w:pPr>
              <w:spacing w:after="0" w:line="240" w:lineRule="auto"/>
              <w:jc w:val="center"/>
              <w:rPr>
                <w:rFonts w:ascii="Calibri" w:eastAsia="Times New Roman" w:hAnsi="Calibri" w:cs="Calibri"/>
                <w:b/>
                <w:bCs/>
                <w:color w:val="FFFFFF"/>
                <w:szCs w:val="21"/>
                <w:lang w:eastAsia="cs-CZ"/>
              </w:rPr>
            </w:pPr>
            <w:r w:rsidRPr="007905CE">
              <w:rPr>
                <w:rFonts w:ascii="Calibri" w:eastAsia="Times New Roman" w:hAnsi="Calibri" w:cs="Calibri"/>
                <w:b/>
                <w:bCs/>
                <w:color w:val="FFFFFF"/>
                <w:szCs w:val="21"/>
                <w:lang w:eastAsia="cs-CZ"/>
              </w:rPr>
              <w:t>RBP</w:t>
            </w:r>
          </w:p>
        </w:tc>
      </w:tr>
      <w:tr w:rsidR="007905CE" w:rsidRPr="007905CE" w14:paraId="10213FDE" w14:textId="77777777" w:rsidTr="007905CE">
        <w:trPr>
          <w:trHeight w:val="559"/>
        </w:trPr>
        <w:tc>
          <w:tcPr>
            <w:tcW w:w="2080" w:type="dxa"/>
            <w:tcBorders>
              <w:top w:val="nil"/>
              <w:left w:val="single" w:sz="8" w:space="0" w:color="4F81BD"/>
              <w:bottom w:val="nil"/>
              <w:right w:val="nil"/>
            </w:tcBorders>
            <w:shd w:val="clear" w:color="auto" w:fill="auto"/>
            <w:vAlign w:val="bottom"/>
            <w:hideMark/>
          </w:tcPr>
          <w:p w14:paraId="1F96D896" w14:textId="77777777" w:rsidR="007905CE" w:rsidRPr="007905CE" w:rsidRDefault="007905CE" w:rsidP="007905CE">
            <w:pPr>
              <w:spacing w:after="0" w:line="240" w:lineRule="auto"/>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 xml:space="preserve">Náklady na </w:t>
            </w:r>
            <w:r w:rsidRPr="007905CE">
              <w:rPr>
                <w:rFonts w:ascii="Calibri" w:eastAsia="Times New Roman" w:hAnsi="Calibri" w:cs="Calibri"/>
                <w:b/>
                <w:bCs/>
                <w:color w:val="000000"/>
                <w:szCs w:val="21"/>
                <w:lang w:eastAsia="cs-CZ"/>
              </w:rPr>
              <w:br/>
              <w:t>ambulantní péči</w:t>
            </w:r>
          </w:p>
        </w:tc>
        <w:tc>
          <w:tcPr>
            <w:tcW w:w="1000" w:type="dxa"/>
            <w:tcBorders>
              <w:top w:val="nil"/>
              <w:left w:val="nil"/>
              <w:bottom w:val="nil"/>
              <w:right w:val="nil"/>
            </w:tcBorders>
            <w:shd w:val="clear" w:color="000000" w:fill="DCE6F1"/>
            <w:noWrap/>
            <w:vAlign w:val="bottom"/>
            <w:hideMark/>
          </w:tcPr>
          <w:p w14:paraId="78FFBB2B"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68 948</w:t>
            </w:r>
          </w:p>
        </w:tc>
        <w:tc>
          <w:tcPr>
            <w:tcW w:w="1000" w:type="dxa"/>
            <w:tcBorders>
              <w:top w:val="nil"/>
              <w:left w:val="nil"/>
              <w:bottom w:val="nil"/>
              <w:right w:val="nil"/>
            </w:tcBorders>
            <w:shd w:val="clear" w:color="auto" w:fill="auto"/>
            <w:noWrap/>
            <w:vAlign w:val="bottom"/>
            <w:hideMark/>
          </w:tcPr>
          <w:p w14:paraId="05BC682C"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8 343</w:t>
            </w:r>
          </w:p>
        </w:tc>
        <w:tc>
          <w:tcPr>
            <w:tcW w:w="1000" w:type="dxa"/>
            <w:tcBorders>
              <w:top w:val="nil"/>
              <w:left w:val="nil"/>
              <w:bottom w:val="nil"/>
              <w:right w:val="nil"/>
            </w:tcBorders>
            <w:shd w:val="clear" w:color="000000" w:fill="DCE6F1"/>
            <w:noWrap/>
            <w:vAlign w:val="bottom"/>
            <w:hideMark/>
          </w:tcPr>
          <w:p w14:paraId="27F503BA"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15 707</w:t>
            </w:r>
          </w:p>
        </w:tc>
        <w:tc>
          <w:tcPr>
            <w:tcW w:w="1000" w:type="dxa"/>
            <w:tcBorders>
              <w:top w:val="nil"/>
              <w:left w:val="nil"/>
              <w:bottom w:val="nil"/>
              <w:right w:val="nil"/>
            </w:tcBorders>
            <w:shd w:val="clear" w:color="auto" w:fill="auto"/>
            <w:noWrap/>
            <w:vAlign w:val="bottom"/>
            <w:hideMark/>
          </w:tcPr>
          <w:p w14:paraId="7D9CC2B2"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9 371</w:t>
            </w:r>
          </w:p>
        </w:tc>
        <w:tc>
          <w:tcPr>
            <w:tcW w:w="1000" w:type="dxa"/>
            <w:tcBorders>
              <w:top w:val="nil"/>
              <w:left w:val="nil"/>
              <w:bottom w:val="nil"/>
              <w:right w:val="nil"/>
            </w:tcBorders>
            <w:shd w:val="clear" w:color="000000" w:fill="DCE6F1"/>
            <w:noWrap/>
            <w:vAlign w:val="bottom"/>
            <w:hideMark/>
          </w:tcPr>
          <w:p w14:paraId="01E6157D"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1 462</w:t>
            </w:r>
          </w:p>
        </w:tc>
        <w:tc>
          <w:tcPr>
            <w:tcW w:w="1000" w:type="dxa"/>
            <w:tcBorders>
              <w:top w:val="nil"/>
              <w:left w:val="nil"/>
              <w:bottom w:val="nil"/>
              <w:right w:val="nil"/>
            </w:tcBorders>
            <w:shd w:val="clear" w:color="auto" w:fill="auto"/>
            <w:noWrap/>
            <w:vAlign w:val="bottom"/>
            <w:hideMark/>
          </w:tcPr>
          <w:p w14:paraId="72D30265"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15 943</w:t>
            </w:r>
          </w:p>
        </w:tc>
        <w:tc>
          <w:tcPr>
            <w:tcW w:w="1000" w:type="dxa"/>
            <w:tcBorders>
              <w:top w:val="nil"/>
              <w:left w:val="nil"/>
              <w:bottom w:val="nil"/>
              <w:right w:val="single" w:sz="8" w:space="0" w:color="4F81BD"/>
            </w:tcBorders>
            <w:shd w:val="clear" w:color="000000" w:fill="DCE6F1"/>
            <w:noWrap/>
            <w:vAlign w:val="bottom"/>
            <w:hideMark/>
          </w:tcPr>
          <w:p w14:paraId="240FE06B"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5 200</w:t>
            </w:r>
          </w:p>
        </w:tc>
      </w:tr>
      <w:tr w:rsidR="007905CE" w:rsidRPr="007905CE" w14:paraId="67A99D7A" w14:textId="77777777" w:rsidTr="007905CE">
        <w:trPr>
          <w:trHeight w:val="559"/>
        </w:trPr>
        <w:tc>
          <w:tcPr>
            <w:tcW w:w="2080" w:type="dxa"/>
            <w:tcBorders>
              <w:top w:val="nil"/>
              <w:left w:val="single" w:sz="8" w:space="0" w:color="4F81BD"/>
              <w:bottom w:val="nil"/>
              <w:right w:val="nil"/>
            </w:tcBorders>
            <w:shd w:val="clear" w:color="000000" w:fill="EEF3F8"/>
            <w:vAlign w:val="bottom"/>
            <w:hideMark/>
          </w:tcPr>
          <w:p w14:paraId="669BD6B4" w14:textId="77777777" w:rsidR="007905CE" w:rsidRPr="007905CE" w:rsidRDefault="007905CE" w:rsidP="007905CE">
            <w:pPr>
              <w:spacing w:after="0" w:line="240" w:lineRule="auto"/>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 xml:space="preserve">Náklady na </w:t>
            </w:r>
            <w:r w:rsidRPr="007905CE">
              <w:rPr>
                <w:rFonts w:ascii="Calibri" w:eastAsia="Times New Roman" w:hAnsi="Calibri" w:cs="Calibri"/>
                <w:b/>
                <w:bCs/>
                <w:color w:val="000000"/>
                <w:szCs w:val="21"/>
                <w:lang w:eastAsia="cs-CZ"/>
              </w:rPr>
              <w:br/>
              <w:t>lůžkovou péči</w:t>
            </w:r>
          </w:p>
        </w:tc>
        <w:tc>
          <w:tcPr>
            <w:tcW w:w="1000" w:type="dxa"/>
            <w:tcBorders>
              <w:top w:val="nil"/>
              <w:left w:val="nil"/>
              <w:bottom w:val="nil"/>
              <w:right w:val="nil"/>
            </w:tcBorders>
            <w:shd w:val="clear" w:color="000000" w:fill="EEF3F8"/>
            <w:noWrap/>
            <w:vAlign w:val="bottom"/>
            <w:hideMark/>
          </w:tcPr>
          <w:p w14:paraId="038893EE"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156 427</w:t>
            </w:r>
          </w:p>
        </w:tc>
        <w:tc>
          <w:tcPr>
            <w:tcW w:w="1000" w:type="dxa"/>
            <w:tcBorders>
              <w:top w:val="nil"/>
              <w:left w:val="nil"/>
              <w:bottom w:val="nil"/>
              <w:right w:val="nil"/>
            </w:tcBorders>
            <w:shd w:val="clear" w:color="000000" w:fill="EEF3F8"/>
            <w:noWrap/>
            <w:vAlign w:val="bottom"/>
            <w:hideMark/>
          </w:tcPr>
          <w:p w14:paraId="299FD174"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16 592</w:t>
            </w:r>
          </w:p>
        </w:tc>
        <w:tc>
          <w:tcPr>
            <w:tcW w:w="1000" w:type="dxa"/>
            <w:tcBorders>
              <w:top w:val="nil"/>
              <w:left w:val="nil"/>
              <w:bottom w:val="nil"/>
              <w:right w:val="nil"/>
            </w:tcBorders>
            <w:shd w:val="clear" w:color="000000" w:fill="EEF3F8"/>
            <w:noWrap/>
            <w:vAlign w:val="bottom"/>
            <w:hideMark/>
          </w:tcPr>
          <w:p w14:paraId="73330742"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26 621</w:t>
            </w:r>
          </w:p>
        </w:tc>
        <w:tc>
          <w:tcPr>
            <w:tcW w:w="1000" w:type="dxa"/>
            <w:tcBorders>
              <w:top w:val="nil"/>
              <w:left w:val="nil"/>
              <w:bottom w:val="nil"/>
              <w:right w:val="nil"/>
            </w:tcBorders>
            <w:shd w:val="clear" w:color="000000" w:fill="EEF3F8"/>
            <w:noWrap/>
            <w:vAlign w:val="bottom"/>
            <w:hideMark/>
          </w:tcPr>
          <w:p w14:paraId="07AA710E"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15 769</w:t>
            </w:r>
          </w:p>
        </w:tc>
        <w:tc>
          <w:tcPr>
            <w:tcW w:w="1000" w:type="dxa"/>
            <w:tcBorders>
              <w:top w:val="nil"/>
              <w:left w:val="nil"/>
              <w:bottom w:val="nil"/>
              <w:right w:val="nil"/>
            </w:tcBorders>
            <w:shd w:val="clear" w:color="000000" w:fill="EEF3F8"/>
            <w:noWrap/>
            <w:vAlign w:val="bottom"/>
            <w:hideMark/>
          </w:tcPr>
          <w:p w14:paraId="30BFE627"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3 491</w:t>
            </w:r>
          </w:p>
        </w:tc>
        <w:tc>
          <w:tcPr>
            <w:tcW w:w="1000" w:type="dxa"/>
            <w:tcBorders>
              <w:top w:val="nil"/>
              <w:left w:val="nil"/>
              <w:bottom w:val="nil"/>
              <w:right w:val="nil"/>
            </w:tcBorders>
            <w:shd w:val="clear" w:color="000000" w:fill="EEF3F8"/>
            <w:noWrap/>
            <w:vAlign w:val="bottom"/>
            <w:hideMark/>
          </w:tcPr>
          <w:p w14:paraId="4CED2542"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30 707</w:t>
            </w:r>
          </w:p>
        </w:tc>
        <w:tc>
          <w:tcPr>
            <w:tcW w:w="1000" w:type="dxa"/>
            <w:tcBorders>
              <w:top w:val="nil"/>
              <w:left w:val="nil"/>
              <w:bottom w:val="nil"/>
              <w:right w:val="single" w:sz="8" w:space="0" w:color="4F81BD"/>
            </w:tcBorders>
            <w:shd w:val="clear" w:color="000000" w:fill="EEF3F8"/>
            <w:noWrap/>
            <w:vAlign w:val="bottom"/>
            <w:hideMark/>
          </w:tcPr>
          <w:p w14:paraId="40BB2C91"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9 287</w:t>
            </w:r>
          </w:p>
        </w:tc>
      </w:tr>
      <w:tr w:rsidR="007905CE" w:rsidRPr="007905CE" w14:paraId="2816F3B0" w14:textId="77777777" w:rsidTr="007905CE">
        <w:trPr>
          <w:trHeight w:val="300"/>
        </w:trPr>
        <w:tc>
          <w:tcPr>
            <w:tcW w:w="2080" w:type="dxa"/>
            <w:tcBorders>
              <w:top w:val="nil"/>
              <w:left w:val="single" w:sz="8" w:space="0" w:color="4F81BD"/>
              <w:bottom w:val="nil"/>
              <w:right w:val="nil"/>
            </w:tcBorders>
            <w:shd w:val="clear" w:color="auto" w:fill="auto"/>
            <w:vAlign w:val="bottom"/>
            <w:hideMark/>
          </w:tcPr>
          <w:p w14:paraId="710B3340" w14:textId="77777777" w:rsidR="007905CE" w:rsidRPr="007905CE" w:rsidRDefault="007905CE" w:rsidP="007905CE">
            <w:pPr>
              <w:spacing w:after="0" w:line="240" w:lineRule="auto"/>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Ostatní náklady</w:t>
            </w:r>
          </w:p>
        </w:tc>
        <w:tc>
          <w:tcPr>
            <w:tcW w:w="1000" w:type="dxa"/>
            <w:tcBorders>
              <w:top w:val="nil"/>
              <w:left w:val="nil"/>
              <w:bottom w:val="nil"/>
              <w:right w:val="nil"/>
            </w:tcBorders>
            <w:shd w:val="clear" w:color="000000" w:fill="DCE6F1"/>
            <w:noWrap/>
            <w:vAlign w:val="bottom"/>
            <w:hideMark/>
          </w:tcPr>
          <w:p w14:paraId="55BA0799"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42 271</w:t>
            </w:r>
          </w:p>
        </w:tc>
        <w:tc>
          <w:tcPr>
            <w:tcW w:w="1000" w:type="dxa"/>
            <w:tcBorders>
              <w:top w:val="nil"/>
              <w:left w:val="nil"/>
              <w:bottom w:val="nil"/>
              <w:right w:val="nil"/>
            </w:tcBorders>
            <w:shd w:val="clear" w:color="auto" w:fill="auto"/>
            <w:noWrap/>
            <w:vAlign w:val="bottom"/>
            <w:hideMark/>
          </w:tcPr>
          <w:p w14:paraId="5CC26168"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4 755</w:t>
            </w:r>
          </w:p>
        </w:tc>
        <w:tc>
          <w:tcPr>
            <w:tcW w:w="1000" w:type="dxa"/>
            <w:tcBorders>
              <w:top w:val="nil"/>
              <w:left w:val="nil"/>
              <w:bottom w:val="nil"/>
              <w:right w:val="nil"/>
            </w:tcBorders>
            <w:shd w:val="clear" w:color="000000" w:fill="DCE6F1"/>
            <w:noWrap/>
            <w:vAlign w:val="bottom"/>
            <w:hideMark/>
          </w:tcPr>
          <w:p w14:paraId="281FB10B"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7 964</w:t>
            </w:r>
          </w:p>
        </w:tc>
        <w:tc>
          <w:tcPr>
            <w:tcW w:w="1000" w:type="dxa"/>
            <w:tcBorders>
              <w:top w:val="nil"/>
              <w:left w:val="nil"/>
              <w:bottom w:val="nil"/>
              <w:right w:val="nil"/>
            </w:tcBorders>
            <w:shd w:val="clear" w:color="auto" w:fill="auto"/>
            <w:noWrap/>
            <w:vAlign w:val="bottom"/>
            <w:hideMark/>
          </w:tcPr>
          <w:p w14:paraId="62D7B9CD"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4 422</w:t>
            </w:r>
          </w:p>
        </w:tc>
        <w:tc>
          <w:tcPr>
            <w:tcW w:w="1000" w:type="dxa"/>
            <w:tcBorders>
              <w:top w:val="nil"/>
              <w:left w:val="nil"/>
              <w:bottom w:val="nil"/>
              <w:right w:val="nil"/>
            </w:tcBorders>
            <w:shd w:val="clear" w:color="000000" w:fill="DCE6F1"/>
            <w:noWrap/>
            <w:vAlign w:val="bottom"/>
            <w:hideMark/>
          </w:tcPr>
          <w:p w14:paraId="08FFE044"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969</w:t>
            </w:r>
          </w:p>
        </w:tc>
        <w:tc>
          <w:tcPr>
            <w:tcW w:w="1000" w:type="dxa"/>
            <w:tcBorders>
              <w:top w:val="nil"/>
              <w:left w:val="nil"/>
              <w:bottom w:val="nil"/>
              <w:right w:val="nil"/>
            </w:tcBorders>
            <w:shd w:val="clear" w:color="auto" w:fill="auto"/>
            <w:noWrap/>
            <w:vAlign w:val="bottom"/>
            <w:hideMark/>
          </w:tcPr>
          <w:p w14:paraId="5B4B4EAB"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9 429</w:t>
            </w:r>
          </w:p>
        </w:tc>
        <w:tc>
          <w:tcPr>
            <w:tcW w:w="1000" w:type="dxa"/>
            <w:tcBorders>
              <w:top w:val="nil"/>
              <w:left w:val="nil"/>
              <w:bottom w:val="nil"/>
              <w:right w:val="single" w:sz="8" w:space="0" w:color="4F81BD"/>
            </w:tcBorders>
            <w:shd w:val="clear" w:color="000000" w:fill="DCE6F1"/>
            <w:noWrap/>
            <w:vAlign w:val="bottom"/>
            <w:hideMark/>
          </w:tcPr>
          <w:p w14:paraId="7315D846" w14:textId="77777777" w:rsidR="007905CE" w:rsidRPr="007905CE" w:rsidRDefault="007905CE" w:rsidP="007905CE">
            <w:pPr>
              <w:spacing w:after="0" w:line="240" w:lineRule="auto"/>
              <w:jc w:val="right"/>
              <w:rPr>
                <w:rFonts w:ascii="Calibri" w:eastAsia="Times New Roman" w:hAnsi="Calibri" w:cs="Calibri"/>
                <w:color w:val="000000"/>
                <w:szCs w:val="21"/>
                <w:lang w:eastAsia="cs-CZ"/>
              </w:rPr>
            </w:pPr>
            <w:r w:rsidRPr="007905CE">
              <w:rPr>
                <w:rFonts w:ascii="Calibri" w:eastAsia="Times New Roman" w:hAnsi="Calibri" w:cs="Calibri"/>
                <w:color w:val="000000"/>
                <w:szCs w:val="21"/>
                <w:lang w:eastAsia="cs-CZ"/>
              </w:rPr>
              <w:t>2 776</w:t>
            </w:r>
          </w:p>
        </w:tc>
      </w:tr>
      <w:tr w:rsidR="007905CE" w:rsidRPr="007905CE" w14:paraId="7912D91E" w14:textId="77777777" w:rsidTr="007905CE">
        <w:trPr>
          <w:trHeight w:val="300"/>
        </w:trPr>
        <w:tc>
          <w:tcPr>
            <w:tcW w:w="2080" w:type="dxa"/>
            <w:tcBorders>
              <w:top w:val="nil"/>
              <w:left w:val="single" w:sz="8" w:space="0" w:color="4F81BD"/>
              <w:bottom w:val="single" w:sz="8" w:space="0" w:color="4F81BD"/>
              <w:right w:val="nil"/>
            </w:tcBorders>
            <w:shd w:val="clear" w:color="000000" w:fill="EEF3F8"/>
            <w:vAlign w:val="bottom"/>
            <w:hideMark/>
          </w:tcPr>
          <w:p w14:paraId="138F5CF7" w14:textId="77777777" w:rsidR="007905CE" w:rsidRPr="007905CE" w:rsidRDefault="007905CE" w:rsidP="007905CE">
            <w:pPr>
              <w:spacing w:after="0" w:line="240" w:lineRule="auto"/>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Celkové náklady</w:t>
            </w:r>
          </w:p>
        </w:tc>
        <w:tc>
          <w:tcPr>
            <w:tcW w:w="1000" w:type="dxa"/>
            <w:tcBorders>
              <w:top w:val="nil"/>
              <w:left w:val="nil"/>
              <w:bottom w:val="single" w:sz="8" w:space="0" w:color="4F81BD"/>
              <w:right w:val="nil"/>
            </w:tcBorders>
            <w:shd w:val="clear" w:color="000000" w:fill="EEF3F8"/>
            <w:noWrap/>
            <w:vAlign w:val="bottom"/>
            <w:hideMark/>
          </w:tcPr>
          <w:p w14:paraId="7DEE21C7" w14:textId="77777777" w:rsidR="007905CE" w:rsidRPr="007905CE" w:rsidRDefault="007905CE" w:rsidP="007905CE">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267 645</w:t>
            </w:r>
          </w:p>
        </w:tc>
        <w:tc>
          <w:tcPr>
            <w:tcW w:w="1000" w:type="dxa"/>
            <w:tcBorders>
              <w:top w:val="nil"/>
              <w:left w:val="nil"/>
              <w:bottom w:val="single" w:sz="8" w:space="0" w:color="4F81BD"/>
              <w:right w:val="nil"/>
            </w:tcBorders>
            <w:shd w:val="clear" w:color="000000" w:fill="EEF3F8"/>
            <w:noWrap/>
            <w:vAlign w:val="bottom"/>
            <w:hideMark/>
          </w:tcPr>
          <w:p w14:paraId="3392DC62" w14:textId="77777777" w:rsidR="007905CE" w:rsidRPr="007905CE" w:rsidRDefault="007905CE" w:rsidP="007905CE">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29 690</w:t>
            </w:r>
          </w:p>
        </w:tc>
        <w:tc>
          <w:tcPr>
            <w:tcW w:w="1000" w:type="dxa"/>
            <w:tcBorders>
              <w:top w:val="nil"/>
              <w:left w:val="nil"/>
              <w:bottom w:val="single" w:sz="8" w:space="0" w:color="4F81BD"/>
              <w:right w:val="nil"/>
            </w:tcBorders>
            <w:shd w:val="clear" w:color="000000" w:fill="EEF3F8"/>
            <w:noWrap/>
            <w:vAlign w:val="bottom"/>
            <w:hideMark/>
          </w:tcPr>
          <w:p w14:paraId="241D76A4" w14:textId="77777777" w:rsidR="007905CE" w:rsidRPr="007905CE" w:rsidRDefault="007905CE" w:rsidP="007905CE">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50 292</w:t>
            </w:r>
          </w:p>
        </w:tc>
        <w:tc>
          <w:tcPr>
            <w:tcW w:w="1000" w:type="dxa"/>
            <w:tcBorders>
              <w:top w:val="nil"/>
              <w:left w:val="nil"/>
              <w:bottom w:val="single" w:sz="8" w:space="0" w:color="4F81BD"/>
              <w:right w:val="nil"/>
            </w:tcBorders>
            <w:shd w:val="clear" w:color="000000" w:fill="EEF3F8"/>
            <w:noWrap/>
            <w:vAlign w:val="bottom"/>
            <w:hideMark/>
          </w:tcPr>
          <w:p w14:paraId="195D3FA8" w14:textId="77777777" w:rsidR="007905CE" w:rsidRPr="007905CE" w:rsidRDefault="007905CE" w:rsidP="007905CE">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29 562</w:t>
            </w:r>
          </w:p>
        </w:tc>
        <w:tc>
          <w:tcPr>
            <w:tcW w:w="1000" w:type="dxa"/>
            <w:tcBorders>
              <w:top w:val="nil"/>
              <w:left w:val="nil"/>
              <w:bottom w:val="single" w:sz="8" w:space="0" w:color="4F81BD"/>
              <w:right w:val="nil"/>
            </w:tcBorders>
            <w:shd w:val="clear" w:color="000000" w:fill="EEF3F8"/>
            <w:noWrap/>
            <w:vAlign w:val="bottom"/>
            <w:hideMark/>
          </w:tcPr>
          <w:p w14:paraId="295FCDD9" w14:textId="77777777" w:rsidR="007905CE" w:rsidRPr="007905CE" w:rsidRDefault="007905CE" w:rsidP="007905CE">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5 923</w:t>
            </w:r>
          </w:p>
        </w:tc>
        <w:tc>
          <w:tcPr>
            <w:tcW w:w="1000" w:type="dxa"/>
            <w:tcBorders>
              <w:top w:val="nil"/>
              <w:left w:val="nil"/>
              <w:bottom w:val="single" w:sz="8" w:space="0" w:color="4F81BD"/>
              <w:right w:val="nil"/>
            </w:tcBorders>
            <w:shd w:val="clear" w:color="000000" w:fill="EEF3F8"/>
            <w:noWrap/>
            <w:vAlign w:val="bottom"/>
            <w:hideMark/>
          </w:tcPr>
          <w:p w14:paraId="5B68D20D" w14:textId="77777777" w:rsidR="007905CE" w:rsidRPr="007905CE" w:rsidRDefault="007905CE" w:rsidP="007905CE">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56 079</w:t>
            </w:r>
          </w:p>
        </w:tc>
        <w:tc>
          <w:tcPr>
            <w:tcW w:w="1000" w:type="dxa"/>
            <w:tcBorders>
              <w:top w:val="nil"/>
              <w:left w:val="nil"/>
              <w:bottom w:val="single" w:sz="8" w:space="0" w:color="4F81BD"/>
              <w:right w:val="single" w:sz="8" w:space="0" w:color="4F81BD"/>
            </w:tcBorders>
            <w:shd w:val="clear" w:color="000000" w:fill="EEF3F8"/>
            <w:noWrap/>
            <w:vAlign w:val="bottom"/>
            <w:hideMark/>
          </w:tcPr>
          <w:p w14:paraId="5F4F1CDB" w14:textId="77777777" w:rsidR="007905CE" w:rsidRPr="007905CE" w:rsidRDefault="007905CE" w:rsidP="007905CE">
            <w:pPr>
              <w:spacing w:after="0" w:line="240" w:lineRule="auto"/>
              <w:jc w:val="right"/>
              <w:rPr>
                <w:rFonts w:ascii="Calibri" w:eastAsia="Times New Roman" w:hAnsi="Calibri" w:cs="Calibri"/>
                <w:b/>
                <w:bCs/>
                <w:color w:val="000000"/>
                <w:szCs w:val="21"/>
                <w:lang w:eastAsia="cs-CZ"/>
              </w:rPr>
            </w:pPr>
            <w:r w:rsidRPr="007905CE">
              <w:rPr>
                <w:rFonts w:ascii="Calibri" w:eastAsia="Times New Roman" w:hAnsi="Calibri" w:cs="Calibri"/>
                <w:b/>
                <w:bCs/>
                <w:color w:val="000000"/>
                <w:szCs w:val="21"/>
                <w:lang w:eastAsia="cs-CZ"/>
              </w:rPr>
              <w:t>17 264</w:t>
            </w:r>
          </w:p>
        </w:tc>
      </w:tr>
    </w:tbl>
    <w:p w14:paraId="3DC3A8E8" w14:textId="77777777" w:rsidR="007905CE" w:rsidRPr="008C1EAB" w:rsidRDefault="007905CE" w:rsidP="00BE4ECE">
      <w:pPr>
        <w:rPr>
          <w:highlight w:val="yellow"/>
          <w:lang w:bidi="hi-IN"/>
        </w:rPr>
      </w:pPr>
    </w:p>
    <w:p w14:paraId="043D040B" w14:textId="6411E607" w:rsidR="007036D6" w:rsidRPr="001906E2" w:rsidRDefault="007036D6" w:rsidP="0021299E">
      <w:pPr>
        <w:pStyle w:val="TEXTpodTABOBR"/>
        <w:spacing w:before="180" w:after="180" w:line="276" w:lineRule="auto"/>
        <w:ind w:firstLine="0"/>
        <w:rPr>
          <w:rFonts w:asciiTheme="minorHAnsi" w:hAnsiTheme="minorHAnsi" w:cstheme="minorHAnsi"/>
          <w:sz w:val="21"/>
          <w:szCs w:val="21"/>
        </w:rPr>
      </w:pPr>
      <w:r w:rsidRPr="0074501E">
        <w:rPr>
          <w:rFonts w:asciiTheme="minorHAnsi" w:hAnsiTheme="minorHAnsi" w:cstheme="minorHAnsi"/>
          <w:b/>
          <w:sz w:val="21"/>
          <w:szCs w:val="21"/>
        </w:rPr>
        <w:t xml:space="preserve">Přesnější údaj o meziročním vývoji jednoznačně představují náklady na zdravotní </w:t>
      </w:r>
      <w:r w:rsidRPr="0074501E">
        <w:rPr>
          <w:rFonts w:asciiTheme="minorHAnsi" w:eastAsia="Times New Roman" w:hAnsiTheme="minorHAnsi" w:cstheme="minorHAnsi"/>
          <w:b/>
          <w:sz w:val="21"/>
          <w:szCs w:val="21"/>
        </w:rPr>
        <w:t>služby</w:t>
      </w:r>
      <w:r w:rsidRPr="0074501E">
        <w:rPr>
          <w:rFonts w:asciiTheme="minorHAnsi" w:hAnsiTheme="minorHAnsi" w:cstheme="minorHAnsi"/>
          <w:spacing w:val="-4"/>
          <w:sz w:val="21"/>
          <w:szCs w:val="21"/>
        </w:rPr>
        <w:t xml:space="preserve"> všech ZP</w:t>
      </w:r>
      <w:r w:rsidRPr="0074501E">
        <w:rPr>
          <w:rFonts w:asciiTheme="minorHAnsi" w:eastAsia="Times New Roman" w:hAnsiTheme="minorHAnsi" w:cstheme="minorHAnsi"/>
          <w:b/>
          <w:sz w:val="21"/>
          <w:szCs w:val="21"/>
        </w:rPr>
        <w:t xml:space="preserve"> </w:t>
      </w:r>
      <w:r w:rsidRPr="0074501E">
        <w:rPr>
          <w:rFonts w:asciiTheme="minorHAnsi" w:hAnsiTheme="minorHAnsi" w:cstheme="minorHAnsi"/>
          <w:b/>
          <w:sz w:val="21"/>
          <w:szCs w:val="21"/>
        </w:rPr>
        <w:t>v přepočtu na</w:t>
      </w:r>
      <w:r w:rsidR="00E0692A" w:rsidRPr="0074501E">
        <w:rPr>
          <w:rFonts w:asciiTheme="minorHAnsi" w:hAnsiTheme="minorHAnsi" w:cstheme="minorHAnsi"/>
          <w:b/>
          <w:sz w:val="21"/>
          <w:szCs w:val="21"/>
        </w:rPr>
        <w:t> </w:t>
      </w:r>
      <w:r w:rsidRPr="0074501E">
        <w:rPr>
          <w:rFonts w:asciiTheme="minorHAnsi" w:hAnsiTheme="minorHAnsi" w:cstheme="minorHAnsi"/>
          <w:b/>
          <w:sz w:val="21"/>
          <w:szCs w:val="21"/>
        </w:rPr>
        <w:t xml:space="preserve">jednoho pojištěnce, které činily </w:t>
      </w:r>
      <w:r w:rsidR="0074501E" w:rsidRPr="0074501E">
        <w:rPr>
          <w:rFonts w:asciiTheme="minorHAnsi" w:hAnsiTheme="minorHAnsi" w:cstheme="minorHAnsi"/>
          <w:b/>
          <w:sz w:val="21"/>
          <w:szCs w:val="21"/>
        </w:rPr>
        <w:t>42</w:t>
      </w:r>
      <w:r w:rsidR="00E1299F" w:rsidRPr="0074501E">
        <w:rPr>
          <w:rFonts w:asciiTheme="minorHAnsi" w:hAnsiTheme="minorHAnsi" w:cstheme="minorHAnsi"/>
          <w:b/>
          <w:sz w:val="21"/>
          <w:szCs w:val="21"/>
        </w:rPr>
        <w:t xml:space="preserve"> </w:t>
      </w:r>
      <w:r w:rsidR="0074501E" w:rsidRPr="0074501E">
        <w:rPr>
          <w:rFonts w:asciiTheme="minorHAnsi" w:hAnsiTheme="minorHAnsi" w:cstheme="minorHAnsi"/>
          <w:b/>
          <w:sz w:val="21"/>
          <w:szCs w:val="21"/>
        </w:rPr>
        <w:t>221</w:t>
      </w:r>
      <w:r w:rsidRPr="0074501E">
        <w:rPr>
          <w:rFonts w:asciiTheme="minorHAnsi" w:hAnsiTheme="minorHAnsi" w:cstheme="minorHAnsi"/>
          <w:b/>
          <w:sz w:val="21"/>
          <w:szCs w:val="21"/>
        </w:rPr>
        <w:t xml:space="preserve"> Kč</w:t>
      </w:r>
      <w:r w:rsidRPr="00BA1C2B">
        <w:rPr>
          <w:rFonts w:asciiTheme="minorHAnsi" w:hAnsiTheme="minorHAnsi" w:cstheme="minorHAnsi"/>
          <w:bCs/>
          <w:sz w:val="21"/>
          <w:szCs w:val="21"/>
        </w:rPr>
        <w:t>.</w:t>
      </w:r>
      <w:r w:rsidRPr="0074501E">
        <w:rPr>
          <w:rFonts w:asciiTheme="minorHAnsi" w:hAnsiTheme="minorHAnsi" w:cstheme="minorHAnsi"/>
          <w:b/>
          <w:sz w:val="21"/>
          <w:szCs w:val="21"/>
        </w:rPr>
        <w:t xml:space="preserve"> </w:t>
      </w:r>
      <w:r w:rsidRPr="0074501E">
        <w:rPr>
          <w:rFonts w:asciiTheme="minorHAnsi" w:hAnsiTheme="minorHAnsi" w:cstheme="minorHAnsi"/>
          <w:sz w:val="21"/>
          <w:szCs w:val="21"/>
        </w:rPr>
        <w:t xml:space="preserve">Z toho </w:t>
      </w:r>
      <w:r w:rsidRPr="0074501E">
        <w:rPr>
          <w:rFonts w:asciiTheme="minorHAnsi" w:hAnsiTheme="minorHAnsi" w:cstheme="minorHAnsi"/>
          <w:b/>
          <w:sz w:val="21"/>
          <w:szCs w:val="21"/>
        </w:rPr>
        <w:t xml:space="preserve">náklady na zdravotní </w:t>
      </w:r>
      <w:r w:rsidRPr="0074501E">
        <w:rPr>
          <w:rFonts w:asciiTheme="minorHAnsi" w:eastAsia="Times New Roman" w:hAnsiTheme="minorHAnsi" w:cstheme="minorHAnsi"/>
          <w:b/>
          <w:sz w:val="21"/>
          <w:szCs w:val="21"/>
        </w:rPr>
        <w:t>služby čerpané z oddílu A základního fondu zdravotního pojištění</w:t>
      </w:r>
      <w:r w:rsidRPr="0074501E">
        <w:rPr>
          <w:rFonts w:asciiTheme="minorHAnsi" w:hAnsiTheme="minorHAnsi" w:cstheme="minorHAnsi"/>
          <w:b/>
          <w:sz w:val="21"/>
          <w:szCs w:val="21"/>
        </w:rPr>
        <w:t xml:space="preserve"> v přepočtu na jednoho pojištěnce</w:t>
      </w:r>
      <w:r w:rsidRPr="0074501E">
        <w:rPr>
          <w:rFonts w:asciiTheme="minorHAnsi" w:hAnsiTheme="minorHAnsi" w:cstheme="minorHAnsi"/>
          <w:sz w:val="21"/>
          <w:szCs w:val="21"/>
        </w:rPr>
        <w:t xml:space="preserve"> v roce 20</w:t>
      </w:r>
      <w:r w:rsidR="00520FEC" w:rsidRPr="0074501E">
        <w:rPr>
          <w:rFonts w:asciiTheme="minorHAnsi" w:hAnsiTheme="minorHAnsi" w:cstheme="minorHAnsi"/>
          <w:sz w:val="21"/>
          <w:szCs w:val="21"/>
        </w:rPr>
        <w:t>2</w:t>
      </w:r>
      <w:r w:rsidR="0074501E">
        <w:rPr>
          <w:rFonts w:asciiTheme="minorHAnsi" w:hAnsiTheme="minorHAnsi" w:cstheme="minorHAnsi"/>
          <w:sz w:val="21"/>
          <w:szCs w:val="21"/>
        </w:rPr>
        <w:t>3</w:t>
      </w:r>
      <w:r w:rsidRPr="0074501E">
        <w:rPr>
          <w:rFonts w:asciiTheme="minorHAnsi" w:hAnsiTheme="minorHAnsi" w:cstheme="minorHAnsi"/>
          <w:sz w:val="21"/>
          <w:szCs w:val="21"/>
        </w:rPr>
        <w:t xml:space="preserve"> </w:t>
      </w:r>
      <w:r w:rsidRPr="0074501E">
        <w:rPr>
          <w:rFonts w:asciiTheme="minorHAnsi" w:hAnsiTheme="minorHAnsi" w:cstheme="minorHAnsi"/>
          <w:spacing w:val="-4"/>
          <w:sz w:val="21"/>
          <w:szCs w:val="21"/>
        </w:rPr>
        <w:t xml:space="preserve">dosáhly v průměru </w:t>
      </w:r>
      <w:r w:rsidRPr="00770136">
        <w:rPr>
          <w:rFonts w:asciiTheme="minorHAnsi" w:hAnsiTheme="minorHAnsi" w:cstheme="minorHAnsi"/>
          <w:spacing w:val="-4"/>
          <w:sz w:val="21"/>
          <w:szCs w:val="21"/>
        </w:rPr>
        <w:t xml:space="preserve">výše </w:t>
      </w:r>
      <w:r w:rsidR="00A04C19" w:rsidRPr="00770136">
        <w:rPr>
          <w:rFonts w:asciiTheme="minorHAnsi" w:hAnsiTheme="minorHAnsi" w:cstheme="minorHAnsi"/>
          <w:spacing w:val="-4"/>
          <w:sz w:val="21"/>
          <w:szCs w:val="21"/>
        </w:rPr>
        <w:t>42</w:t>
      </w:r>
      <w:r w:rsidR="00520FEC" w:rsidRPr="00770136">
        <w:rPr>
          <w:rFonts w:asciiTheme="minorHAnsi" w:hAnsiTheme="minorHAnsi" w:cstheme="minorHAnsi"/>
          <w:spacing w:val="-4"/>
          <w:sz w:val="21"/>
          <w:szCs w:val="21"/>
        </w:rPr>
        <w:t> </w:t>
      </w:r>
      <w:r w:rsidR="00A04C19" w:rsidRPr="00770136">
        <w:rPr>
          <w:rFonts w:asciiTheme="minorHAnsi" w:hAnsiTheme="minorHAnsi" w:cstheme="minorHAnsi"/>
          <w:spacing w:val="-4"/>
          <w:sz w:val="21"/>
          <w:szCs w:val="21"/>
        </w:rPr>
        <w:t>011</w:t>
      </w:r>
      <w:r w:rsidRPr="00770136">
        <w:rPr>
          <w:rFonts w:asciiTheme="minorHAnsi" w:hAnsiTheme="minorHAnsi" w:cstheme="minorHAnsi"/>
          <w:sz w:val="21"/>
          <w:szCs w:val="21"/>
        </w:rPr>
        <w:t> Kč, což</w:t>
      </w:r>
      <w:r w:rsidR="006B7BB1" w:rsidRPr="00770136">
        <w:rPr>
          <w:rFonts w:asciiTheme="minorHAnsi" w:hAnsiTheme="minorHAnsi" w:cstheme="minorHAnsi"/>
          <w:sz w:val="21"/>
          <w:szCs w:val="21"/>
        </w:rPr>
        <w:t> </w:t>
      </w:r>
      <w:r w:rsidRPr="00770136">
        <w:rPr>
          <w:rFonts w:asciiTheme="minorHAnsi" w:hAnsiTheme="minorHAnsi" w:cstheme="minorHAnsi"/>
          <w:sz w:val="21"/>
          <w:szCs w:val="21"/>
        </w:rPr>
        <w:t>představuje meziroční zvýšení o </w:t>
      </w:r>
      <w:r w:rsidR="00770136" w:rsidRPr="00770136">
        <w:rPr>
          <w:rFonts w:asciiTheme="minorHAnsi" w:hAnsiTheme="minorHAnsi" w:cstheme="minorHAnsi"/>
          <w:sz w:val="21"/>
          <w:szCs w:val="21"/>
        </w:rPr>
        <w:t>3 484</w:t>
      </w:r>
      <w:r w:rsidRPr="00770136">
        <w:rPr>
          <w:rFonts w:asciiTheme="minorHAnsi" w:hAnsiTheme="minorHAnsi" w:cstheme="minorHAnsi"/>
          <w:sz w:val="21"/>
          <w:szCs w:val="21"/>
        </w:rPr>
        <w:t> Kč na 1 pojištěnce, tj. o </w:t>
      </w:r>
      <w:r w:rsidR="00770136" w:rsidRPr="00770136">
        <w:rPr>
          <w:rFonts w:asciiTheme="minorHAnsi" w:hAnsiTheme="minorHAnsi" w:cstheme="minorHAnsi"/>
          <w:sz w:val="21"/>
          <w:szCs w:val="21"/>
        </w:rPr>
        <w:t>9</w:t>
      </w:r>
      <w:r w:rsidR="00520FEC" w:rsidRPr="00770136">
        <w:rPr>
          <w:rFonts w:asciiTheme="minorHAnsi" w:hAnsiTheme="minorHAnsi" w:cstheme="minorHAnsi"/>
          <w:sz w:val="21"/>
          <w:szCs w:val="21"/>
        </w:rPr>
        <w:t>,</w:t>
      </w:r>
      <w:r w:rsidR="00770136" w:rsidRPr="00770136">
        <w:rPr>
          <w:rFonts w:asciiTheme="minorHAnsi" w:hAnsiTheme="minorHAnsi" w:cstheme="minorHAnsi"/>
          <w:sz w:val="21"/>
          <w:szCs w:val="21"/>
        </w:rPr>
        <w:t>0</w:t>
      </w:r>
      <w:r w:rsidRPr="00770136">
        <w:rPr>
          <w:rFonts w:asciiTheme="minorHAnsi" w:hAnsiTheme="minorHAnsi" w:cstheme="minorHAnsi"/>
          <w:sz w:val="21"/>
          <w:szCs w:val="21"/>
        </w:rPr>
        <w:t xml:space="preserve"> % a oproti předpokladu ZPP 20</w:t>
      </w:r>
      <w:r w:rsidR="00520FEC" w:rsidRPr="00770136">
        <w:rPr>
          <w:rFonts w:asciiTheme="minorHAnsi" w:hAnsiTheme="minorHAnsi" w:cstheme="minorHAnsi"/>
          <w:sz w:val="21"/>
          <w:szCs w:val="21"/>
        </w:rPr>
        <w:t>2</w:t>
      </w:r>
      <w:r w:rsidR="00770136" w:rsidRPr="00770136">
        <w:rPr>
          <w:rFonts w:asciiTheme="minorHAnsi" w:hAnsiTheme="minorHAnsi" w:cstheme="minorHAnsi"/>
          <w:sz w:val="21"/>
          <w:szCs w:val="21"/>
        </w:rPr>
        <w:t>3</w:t>
      </w:r>
      <w:r w:rsidRPr="00770136">
        <w:rPr>
          <w:rFonts w:asciiTheme="minorHAnsi" w:hAnsiTheme="minorHAnsi" w:cstheme="minorHAnsi"/>
          <w:sz w:val="21"/>
          <w:szCs w:val="21"/>
        </w:rPr>
        <w:t xml:space="preserve"> pak</w:t>
      </w:r>
      <w:r w:rsidR="006E1006" w:rsidRPr="00770136">
        <w:rPr>
          <w:rFonts w:asciiTheme="minorHAnsi" w:hAnsiTheme="minorHAnsi" w:cstheme="minorHAnsi"/>
          <w:sz w:val="21"/>
          <w:szCs w:val="21"/>
        </w:rPr>
        <w:t> </w:t>
      </w:r>
      <w:r w:rsidR="00770136" w:rsidRPr="00770136">
        <w:rPr>
          <w:rFonts w:asciiTheme="minorHAnsi" w:hAnsiTheme="minorHAnsi" w:cstheme="minorHAnsi"/>
          <w:sz w:val="21"/>
          <w:szCs w:val="21"/>
        </w:rPr>
        <w:t>snížení</w:t>
      </w:r>
      <w:r w:rsidRPr="00770136">
        <w:rPr>
          <w:rFonts w:asciiTheme="minorHAnsi" w:hAnsiTheme="minorHAnsi" w:cstheme="minorHAnsi"/>
          <w:sz w:val="21"/>
          <w:szCs w:val="21"/>
        </w:rPr>
        <w:t xml:space="preserve"> o</w:t>
      </w:r>
      <w:r w:rsidR="00BF2C3C" w:rsidRPr="00770136">
        <w:rPr>
          <w:rFonts w:asciiTheme="minorHAnsi" w:hAnsiTheme="minorHAnsi" w:cstheme="minorHAnsi"/>
          <w:sz w:val="21"/>
          <w:szCs w:val="21"/>
        </w:rPr>
        <w:t> </w:t>
      </w:r>
      <w:r w:rsidR="00770136" w:rsidRPr="00770136">
        <w:rPr>
          <w:rFonts w:asciiTheme="minorHAnsi" w:hAnsiTheme="minorHAnsi" w:cstheme="minorHAnsi"/>
          <w:sz w:val="21"/>
          <w:szCs w:val="21"/>
        </w:rPr>
        <w:t>433</w:t>
      </w:r>
      <w:r w:rsidRPr="00770136">
        <w:rPr>
          <w:rFonts w:asciiTheme="minorHAnsi" w:eastAsia="SimSun" w:hAnsiTheme="minorHAnsi" w:cstheme="minorHAnsi"/>
          <w:sz w:val="21"/>
          <w:szCs w:val="21"/>
        </w:rPr>
        <w:t xml:space="preserve"> Kč, tj. o</w:t>
      </w:r>
      <w:r w:rsidRPr="00770136">
        <w:rPr>
          <w:rFonts w:asciiTheme="minorHAnsi" w:hAnsiTheme="minorHAnsi" w:cstheme="minorHAnsi"/>
          <w:sz w:val="21"/>
          <w:szCs w:val="21"/>
        </w:rPr>
        <w:t> </w:t>
      </w:r>
      <w:r w:rsidR="00770136" w:rsidRPr="00770136">
        <w:rPr>
          <w:rFonts w:asciiTheme="minorHAnsi" w:hAnsiTheme="minorHAnsi" w:cstheme="minorHAnsi"/>
          <w:sz w:val="21"/>
          <w:szCs w:val="21"/>
        </w:rPr>
        <w:t>1</w:t>
      </w:r>
      <w:r w:rsidRPr="00770136">
        <w:rPr>
          <w:rFonts w:asciiTheme="minorHAnsi" w:hAnsiTheme="minorHAnsi" w:cstheme="minorHAnsi"/>
          <w:sz w:val="21"/>
          <w:szCs w:val="21"/>
        </w:rPr>
        <w:t>,</w:t>
      </w:r>
      <w:r w:rsidR="00770136" w:rsidRPr="00770136">
        <w:rPr>
          <w:rFonts w:asciiTheme="minorHAnsi" w:hAnsiTheme="minorHAnsi" w:cstheme="minorHAnsi"/>
          <w:sz w:val="21"/>
          <w:szCs w:val="21"/>
        </w:rPr>
        <w:t>0</w:t>
      </w:r>
      <w:r w:rsidRPr="00770136">
        <w:rPr>
          <w:rFonts w:asciiTheme="minorHAnsi" w:hAnsiTheme="minorHAnsi" w:cstheme="minorHAnsi"/>
          <w:sz w:val="21"/>
          <w:szCs w:val="21"/>
        </w:rPr>
        <w:t> % (</w:t>
      </w:r>
      <w:r w:rsidRPr="00770136">
        <w:rPr>
          <w:rFonts w:asciiTheme="minorHAnsi" w:hAnsiTheme="minorHAnsi" w:cstheme="minorHAnsi"/>
          <w:i/>
          <w:sz w:val="21"/>
          <w:szCs w:val="21"/>
        </w:rPr>
        <w:t>Tabulka č. 11</w:t>
      </w:r>
      <w:r w:rsidRPr="00770136">
        <w:rPr>
          <w:rFonts w:asciiTheme="minorHAnsi" w:hAnsiTheme="minorHAnsi" w:cstheme="minorHAnsi"/>
          <w:sz w:val="21"/>
          <w:szCs w:val="21"/>
        </w:rPr>
        <w:t xml:space="preserve"> a </w:t>
      </w:r>
      <w:r w:rsidR="00E0692A" w:rsidRPr="00770136">
        <w:rPr>
          <w:rFonts w:asciiTheme="minorHAnsi" w:hAnsiTheme="minorHAnsi" w:cstheme="minorHAnsi"/>
          <w:i/>
          <w:sz w:val="21"/>
          <w:szCs w:val="21"/>
        </w:rPr>
        <w:t>Graf č</w:t>
      </w:r>
      <w:r w:rsidRPr="00770136">
        <w:rPr>
          <w:rFonts w:asciiTheme="minorHAnsi" w:hAnsiTheme="minorHAnsi" w:cstheme="minorHAnsi"/>
          <w:i/>
          <w:sz w:val="21"/>
          <w:szCs w:val="21"/>
        </w:rPr>
        <w:t>. 15</w:t>
      </w:r>
      <w:r w:rsidRPr="00770136">
        <w:rPr>
          <w:rFonts w:asciiTheme="minorHAnsi" w:hAnsiTheme="minorHAnsi" w:cstheme="minorHAnsi"/>
          <w:sz w:val="21"/>
          <w:szCs w:val="21"/>
        </w:rPr>
        <w:t>)</w:t>
      </w:r>
      <w:r w:rsidRPr="00770136">
        <w:rPr>
          <w:rFonts w:asciiTheme="minorHAnsi" w:eastAsia="SimSun" w:hAnsiTheme="minorHAnsi" w:cstheme="minorHAnsi"/>
          <w:sz w:val="21"/>
          <w:szCs w:val="21"/>
        </w:rPr>
        <w:t>.</w:t>
      </w:r>
      <w:r w:rsidRPr="00770136">
        <w:rPr>
          <w:rFonts w:asciiTheme="minorHAnsi" w:hAnsiTheme="minorHAnsi" w:cstheme="minorHAnsi"/>
          <w:sz w:val="21"/>
          <w:szCs w:val="21"/>
        </w:rPr>
        <w:t xml:space="preserve"> </w:t>
      </w:r>
      <w:r w:rsidRPr="00770136">
        <w:rPr>
          <w:rFonts w:asciiTheme="minorHAnsi" w:eastAsia="SimSun" w:hAnsiTheme="minorHAnsi" w:cstheme="minorHAnsi"/>
          <w:sz w:val="21"/>
          <w:szCs w:val="21"/>
        </w:rPr>
        <w:t xml:space="preserve">Nejvyšších průměrných nákladů na 1 pojištěnce dosáhla </w:t>
      </w:r>
      <w:r w:rsidRPr="00770136">
        <w:rPr>
          <w:rFonts w:asciiTheme="minorHAnsi" w:hAnsiTheme="minorHAnsi" w:cstheme="minorHAnsi"/>
          <w:sz w:val="21"/>
          <w:szCs w:val="21"/>
        </w:rPr>
        <w:t xml:space="preserve">VZP ČR </w:t>
      </w:r>
      <w:r w:rsidRPr="007F5981">
        <w:rPr>
          <w:rFonts w:asciiTheme="minorHAnsi" w:hAnsiTheme="minorHAnsi" w:cstheme="minorHAnsi"/>
          <w:sz w:val="21"/>
          <w:szCs w:val="21"/>
        </w:rPr>
        <w:t>ve</w:t>
      </w:r>
      <w:r w:rsidR="006B7BB1" w:rsidRPr="007F5981">
        <w:rPr>
          <w:rFonts w:asciiTheme="minorHAnsi" w:hAnsiTheme="minorHAnsi" w:cstheme="minorHAnsi"/>
          <w:sz w:val="21"/>
          <w:szCs w:val="21"/>
        </w:rPr>
        <w:t> </w:t>
      </w:r>
      <w:r w:rsidRPr="007F5981">
        <w:rPr>
          <w:rFonts w:asciiTheme="minorHAnsi" w:hAnsiTheme="minorHAnsi" w:cstheme="minorHAnsi"/>
          <w:sz w:val="21"/>
          <w:szCs w:val="21"/>
        </w:rPr>
        <w:t xml:space="preserve">výši </w:t>
      </w:r>
      <w:r w:rsidR="00770136" w:rsidRPr="007F5981">
        <w:rPr>
          <w:rFonts w:asciiTheme="minorHAnsi" w:hAnsiTheme="minorHAnsi" w:cstheme="minorHAnsi"/>
          <w:sz w:val="21"/>
          <w:szCs w:val="21"/>
        </w:rPr>
        <w:t>43</w:t>
      </w:r>
      <w:r w:rsidR="008A6E25" w:rsidRPr="007F5981">
        <w:rPr>
          <w:rFonts w:asciiTheme="minorHAnsi" w:hAnsiTheme="minorHAnsi" w:cstheme="minorHAnsi"/>
          <w:sz w:val="21"/>
          <w:szCs w:val="21"/>
        </w:rPr>
        <w:t> </w:t>
      </w:r>
      <w:r w:rsidR="00770136" w:rsidRPr="007F5981">
        <w:rPr>
          <w:rFonts w:asciiTheme="minorHAnsi" w:hAnsiTheme="minorHAnsi" w:cstheme="minorHAnsi"/>
          <w:sz w:val="21"/>
          <w:szCs w:val="21"/>
        </w:rPr>
        <w:t>499</w:t>
      </w:r>
      <w:r w:rsidRPr="007F5981">
        <w:rPr>
          <w:rFonts w:asciiTheme="minorHAnsi" w:hAnsiTheme="minorHAnsi" w:cstheme="minorHAnsi"/>
          <w:sz w:val="21"/>
          <w:szCs w:val="21"/>
        </w:rPr>
        <w:t xml:space="preserve"> Kč, s meziročním </w:t>
      </w:r>
      <w:r w:rsidR="00770136" w:rsidRPr="007F5981">
        <w:rPr>
          <w:rFonts w:asciiTheme="minorHAnsi" w:hAnsiTheme="minorHAnsi" w:cstheme="minorHAnsi"/>
          <w:sz w:val="21"/>
          <w:szCs w:val="21"/>
        </w:rPr>
        <w:t>nárůstem</w:t>
      </w:r>
      <w:r w:rsidRPr="007F5981">
        <w:rPr>
          <w:rFonts w:asciiTheme="minorHAnsi" w:hAnsiTheme="minorHAnsi" w:cstheme="minorHAnsi"/>
          <w:sz w:val="21"/>
          <w:szCs w:val="21"/>
        </w:rPr>
        <w:t xml:space="preserve"> </w:t>
      </w:r>
      <w:r w:rsidR="00A25B76" w:rsidRPr="007F5981">
        <w:rPr>
          <w:rFonts w:asciiTheme="minorHAnsi" w:hAnsiTheme="minorHAnsi" w:cstheme="minorHAnsi"/>
          <w:sz w:val="21"/>
          <w:szCs w:val="21"/>
        </w:rPr>
        <w:t>o</w:t>
      </w:r>
      <w:r w:rsidR="00770136" w:rsidRPr="007F5981">
        <w:rPr>
          <w:rFonts w:asciiTheme="minorHAnsi" w:hAnsiTheme="minorHAnsi" w:cstheme="minorHAnsi"/>
          <w:sz w:val="21"/>
          <w:szCs w:val="21"/>
        </w:rPr>
        <w:t xml:space="preserve"> 3</w:t>
      </w:r>
      <w:r w:rsidRPr="007F5981">
        <w:rPr>
          <w:rFonts w:asciiTheme="minorHAnsi" w:hAnsiTheme="minorHAnsi" w:cstheme="minorHAnsi"/>
          <w:sz w:val="21"/>
          <w:szCs w:val="21"/>
        </w:rPr>
        <w:t> </w:t>
      </w:r>
      <w:r w:rsidR="007F5981" w:rsidRPr="007F5981">
        <w:rPr>
          <w:rFonts w:asciiTheme="minorHAnsi" w:hAnsiTheme="minorHAnsi" w:cstheme="minorHAnsi"/>
          <w:sz w:val="21"/>
          <w:szCs w:val="21"/>
        </w:rPr>
        <w:t>872</w:t>
      </w:r>
      <w:r w:rsidRPr="007F5981">
        <w:rPr>
          <w:rFonts w:asciiTheme="minorHAnsi" w:hAnsiTheme="minorHAnsi" w:cstheme="minorHAnsi"/>
          <w:sz w:val="21"/>
          <w:szCs w:val="21"/>
        </w:rPr>
        <w:t> Kč na 1 pojištěnce, tj. o </w:t>
      </w:r>
      <w:r w:rsidR="007F5981" w:rsidRPr="007F5981">
        <w:rPr>
          <w:rFonts w:asciiTheme="minorHAnsi" w:hAnsiTheme="minorHAnsi" w:cstheme="minorHAnsi"/>
          <w:sz w:val="21"/>
          <w:szCs w:val="21"/>
        </w:rPr>
        <w:t>9</w:t>
      </w:r>
      <w:r w:rsidR="008A6E25" w:rsidRPr="007F5981">
        <w:rPr>
          <w:rFonts w:asciiTheme="minorHAnsi" w:hAnsiTheme="minorHAnsi" w:cstheme="minorHAnsi"/>
          <w:sz w:val="21"/>
          <w:szCs w:val="21"/>
        </w:rPr>
        <w:t>,</w:t>
      </w:r>
      <w:r w:rsidR="007F5981" w:rsidRPr="007F5981">
        <w:rPr>
          <w:rFonts w:asciiTheme="minorHAnsi" w:hAnsiTheme="minorHAnsi" w:cstheme="minorHAnsi"/>
          <w:sz w:val="21"/>
          <w:szCs w:val="21"/>
        </w:rPr>
        <w:t>8</w:t>
      </w:r>
      <w:r w:rsidRPr="007F5981">
        <w:rPr>
          <w:rFonts w:asciiTheme="minorHAnsi" w:hAnsiTheme="minorHAnsi" w:cstheme="minorHAnsi"/>
          <w:sz w:val="21"/>
          <w:szCs w:val="21"/>
        </w:rPr>
        <w:t xml:space="preserve"> %. Z hlediska absolutní výše těchto nákladů </w:t>
      </w:r>
      <w:r w:rsidR="007F5981" w:rsidRPr="007F5981">
        <w:rPr>
          <w:rFonts w:asciiTheme="minorHAnsi" w:hAnsiTheme="minorHAnsi" w:cstheme="minorHAnsi"/>
          <w:sz w:val="21"/>
          <w:szCs w:val="21"/>
        </w:rPr>
        <w:t>t</w:t>
      </w:r>
      <w:r w:rsidR="00560A65" w:rsidRPr="007F5981">
        <w:rPr>
          <w:rFonts w:asciiTheme="minorHAnsi" w:hAnsiTheme="minorHAnsi" w:cstheme="minorHAnsi"/>
          <w:sz w:val="21"/>
          <w:szCs w:val="21"/>
        </w:rPr>
        <w:t>ak i</w:t>
      </w:r>
      <w:r w:rsidRPr="007F5981">
        <w:rPr>
          <w:rFonts w:asciiTheme="minorHAnsi" w:hAnsiTheme="minorHAnsi" w:cstheme="minorHAnsi"/>
          <w:sz w:val="21"/>
          <w:szCs w:val="21"/>
        </w:rPr>
        <w:t xml:space="preserve"> nadále zůstává na 1. místě. </w:t>
      </w:r>
      <w:r w:rsidRPr="007F5981">
        <w:rPr>
          <w:rFonts w:asciiTheme="minorHAnsi" w:eastAsia="SimSun" w:hAnsiTheme="minorHAnsi" w:cstheme="minorHAnsi"/>
          <w:sz w:val="21"/>
          <w:szCs w:val="21"/>
        </w:rPr>
        <w:t xml:space="preserve">ZZP dosáhly hodnoty průměrných nákladů ve výši </w:t>
      </w:r>
      <w:r w:rsidR="007F5981" w:rsidRPr="007F5981">
        <w:rPr>
          <w:rFonts w:asciiTheme="minorHAnsi" w:eastAsia="SimSun" w:hAnsiTheme="minorHAnsi" w:cstheme="minorHAnsi"/>
          <w:sz w:val="21"/>
          <w:szCs w:val="21"/>
        </w:rPr>
        <w:t>40</w:t>
      </w:r>
      <w:r w:rsidR="00A25B76" w:rsidRPr="007F5981">
        <w:rPr>
          <w:rFonts w:asciiTheme="minorHAnsi" w:eastAsia="SimSun" w:hAnsiTheme="minorHAnsi" w:cstheme="minorHAnsi"/>
          <w:sz w:val="21"/>
          <w:szCs w:val="21"/>
        </w:rPr>
        <w:t> </w:t>
      </w:r>
      <w:r w:rsidR="00560A65" w:rsidRPr="007F5981">
        <w:rPr>
          <w:rFonts w:asciiTheme="minorHAnsi" w:eastAsia="SimSun" w:hAnsiTheme="minorHAnsi" w:cstheme="minorHAnsi"/>
          <w:sz w:val="21"/>
          <w:szCs w:val="21"/>
        </w:rPr>
        <w:t>1</w:t>
      </w:r>
      <w:r w:rsidR="007F5981" w:rsidRPr="007F5981">
        <w:rPr>
          <w:rFonts w:asciiTheme="minorHAnsi" w:eastAsia="SimSun" w:hAnsiTheme="minorHAnsi" w:cstheme="minorHAnsi"/>
          <w:sz w:val="21"/>
          <w:szCs w:val="21"/>
        </w:rPr>
        <w:t>27</w:t>
      </w:r>
      <w:r w:rsidRPr="007F5981">
        <w:rPr>
          <w:rFonts w:asciiTheme="minorHAnsi" w:eastAsia="SimSun" w:hAnsiTheme="minorHAnsi" w:cstheme="minorHAnsi"/>
          <w:sz w:val="21"/>
          <w:szCs w:val="21"/>
        </w:rPr>
        <w:t> Kč, což je o</w:t>
      </w:r>
      <w:r w:rsidR="00BF2C3C" w:rsidRPr="007F5981">
        <w:rPr>
          <w:rFonts w:asciiTheme="minorHAnsi" w:eastAsia="SimSun" w:hAnsiTheme="minorHAnsi" w:cstheme="minorHAnsi"/>
          <w:sz w:val="21"/>
          <w:szCs w:val="21"/>
        </w:rPr>
        <w:t> </w:t>
      </w:r>
      <w:r w:rsidR="007F5981" w:rsidRPr="007F5981">
        <w:rPr>
          <w:rFonts w:asciiTheme="minorHAnsi" w:eastAsia="SimSun" w:hAnsiTheme="minorHAnsi" w:cstheme="minorHAnsi"/>
          <w:sz w:val="21"/>
          <w:szCs w:val="21"/>
        </w:rPr>
        <w:t>2 </w:t>
      </w:r>
      <w:r w:rsidR="005C67C0" w:rsidRPr="007F5981">
        <w:rPr>
          <w:rFonts w:asciiTheme="minorHAnsi" w:eastAsia="SimSun" w:hAnsiTheme="minorHAnsi" w:cstheme="minorHAnsi"/>
          <w:sz w:val="21"/>
          <w:szCs w:val="21"/>
        </w:rPr>
        <w:t>9</w:t>
      </w:r>
      <w:r w:rsidR="007F5981" w:rsidRPr="007F5981">
        <w:rPr>
          <w:rFonts w:asciiTheme="minorHAnsi" w:eastAsia="SimSun" w:hAnsiTheme="minorHAnsi" w:cstheme="minorHAnsi"/>
          <w:sz w:val="21"/>
          <w:szCs w:val="21"/>
        </w:rPr>
        <w:t>83</w:t>
      </w:r>
      <w:r w:rsidR="00B53FD0" w:rsidRPr="007F5981">
        <w:rPr>
          <w:rFonts w:asciiTheme="minorHAnsi" w:eastAsia="SimSun" w:hAnsiTheme="minorHAnsi" w:cstheme="minorHAnsi"/>
          <w:sz w:val="21"/>
          <w:szCs w:val="21"/>
        </w:rPr>
        <w:t> </w:t>
      </w:r>
      <w:r w:rsidRPr="007F5981">
        <w:rPr>
          <w:rFonts w:asciiTheme="minorHAnsi" w:eastAsia="SimSun" w:hAnsiTheme="minorHAnsi" w:cstheme="minorHAnsi"/>
          <w:sz w:val="21"/>
          <w:szCs w:val="21"/>
        </w:rPr>
        <w:t>Kč na 1 pojištěnce více než v roce 20</w:t>
      </w:r>
      <w:r w:rsidR="00A25B76" w:rsidRPr="007F5981">
        <w:rPr>
          <w:rFonts w:asciiTheme="minorHAnsi" w:eastAsia="SimSun" w:hAnsiTheme="minorHAnsi" w:cstheme="minorHAnsi"/>
          <w:sz w:val="21"/>
          <w:szCs w:val="21"/>
        </w:rPr>
        <w:t>2</w:t>
      </w:r>
      <w:r w:rsidR="007F5981" w:rsidRPr="007F5981">
        <w:rPr>
          <w:rFonts w:asciiTheme="minorHAnsi" w:eastAsia="SimSun" w:hAnsiTheme="minorHAnsi" w:cstheme="minorHAnsi"/>
          <w:sz w:val="21"/>
          <w:szCs w:val="21"/>
        </w:rPr>
        <w:t>2</w:t>
      </w:r>
      <w:r w:rsidRPr="007F5981">
        <w:rPr>
          <w:rFonts w:asciiTheme="minorHAnsi" w:eastAsia="SimSun" w:hAnsiTheme="minorHAnsi" w:cstheme="minorHAnsi"/>
          <w:sz w:val="21"/>
          <w:szCs w:val="21"/>
        </w:rPr>
        <w:t xml:space="preserve">, </w:t>
      </w:r>
      <w:r w:rsidRPr="007F5981">
        <w:rPr>
          <w:rFonts w:asciiTheme="minorHAnsi" w:hAnsiTheme="minorHAnsi" w:cstheme="minorHAnsi"/>
          <w:sz w:val="21"/>
          <w:szCs w:val="21"/>
        </w:rPr>
        <w:t>tj. o </w:t>
      </w:r>
      <w:r w:rsidR="007F5981" w:rsidRPr="007F5981">
        <w:rPr>
          <w:rFonts w:asciiTheme="minorHAnsi" w:hAnsiTheme="minorHAnsi" w:cstheme="minorHAnsi"/>
          <w:sz w:val="21"/>
          <w:szCs w:val="21"/>
        </w:rPr>
        <w:t>8</w:t>
      </w:r>
      <w:r w:rsidR="005C67C0" w:rsidRPr="007F5981">
        <w:rPr>
          <w:rFonts w:asciiTheme="minorHAnsi" w:hAnsiTheme="minorHAnsi" w:cstheme="minorHAnsi"/>
          <w:sz w:val="21"/>
          <w:szCs w:val="21"/>
        </w:rPr>
        <w:t>,</w:t>
      </w:r>
      <w:r w:rsidR="007F5981" w:rsidRPr="007F5981">
        <w:rPr>
          <w:rFonts w:asciiTheme="minorHAnsi" w:hAnsiTheme="minorHAnsi" w:cstheme="minorHAnsi"/>
          <w:sz w:val="21"/>
          <w:szCs w:val="21"/>
        </w:rPr>
        <w:t>0</w:t>
      </w:r>
      <w:r w:rsidRPr="007F5981">
        <w:rPr>
          <w:rFonts w:asciiTheme="minorHAnsi" w:hAnsiTheme="minorHAnsi" w:cstheme="minorHAnsi"/>
          <w:sz w:val="21"/>
          <w:szCs w:val="21"/>
        </w:rPr>
        <w:t xml:space="preserve"> %. Ze srovnání jednotlivých ZZP vyplývá, že u</w:t>
      </w:r>
      <w:r w:rsidR="005C67C0" w:rsidRPr="007F5981">
        <w:rPr>
          <w:rFonts w:asciiTheme="minorHAnsi" w:hAnsiTheme="minorHAnsi" w:cstheme="minorHAnsi"/>
          <w:sz w:val="21"/>
          <w:szCs w:val="21"/>
        </w:rPr>
        <w:t> </w:t>
      </w:r>
      <w:r w:rsidR="00560A65" w:rsidRPr="007F5981">
        <w:rPr>
          <w:rFonts w:asciiTheme="minorHAnsi" w:hAnsiTheme="minorHAnsi" w:cstheme="minorHAnsi"/>
          <w:sz w:val="21"/>
          <w:szCs w:val="21"/>
        </w:rPr>
        <w:t>v</w:t>
      </w:r>
      <w:r w:rsidR="007F5981">
        <w:rPr>
          <w:rFonts w:asciiTheme="minorHAnsi" w:hAnsiTheme="minorHAnsi" w:cstheme="minorHAnsi"/>
          <w:sz w:val="21"/>
          <w:szCs w:val="21"/>
        </w:rPr>
        <w:t>šech</w:t>
      </w:r>
      <w:r w:rsidRPr="007F5981">
        <w:rPr>
          <w:rFonts w:asciiTheme="minorHAnsi" w:hAnsiTheme="minorHAnsi" w:cstheme="minorHAnsi"/>
          <w:sz w:val="21"/>
          <w:szCs w:val="21"/>
        </w:rPr>
        <w:t xml:space="preserve"> došlo k růstu těchto nákladů </w:t>
      </w:r>
      <w:r w:rsidR="00F75B57" w:rsidRPr="001906E2">
        <w:rPr>
          <w:rFonts w:asciiTheme="minorHAnsi" w:hAnsiTheme="minorHAnsi" w:cstheme="minorHAnsi"/>
          <w:sz w:val="21"/>
          <w:szCs w:val="21"/>
        </w:rPr>
        <w:t>–</w:t>
      </w:r>
      <w:r w:rsidRPr="001906E2">
        <w:rPr>
          <w:rFonts w:asciiTheme="minorHAnsi" w:hAnsiTheme="minorHAnsi" w:cstheme="minorHAnsi"/>
          <w:sz w:val="21"/>
          <w:szCs w:val="21"/>
        </w:rPr>
        <w:t xml:space="preserve"> VoZP ČR o </w:t>
      </w:r>
      <w:r w:rsidR="001906E2" w:rsidRPr="001906E2">
        <w:rPr>
          <w:rFonts w:asciiTheme="minorHAnsi" w:hAnsiTheme="minorHAnsi" w:cstheme="minorHAnsi"/>
          <w:sz w:val="21"/>
          <w:szCs w:val="21"/>
        </w:rPr>
        <w:t>9</w:t>
      </w:r>
      <w:r w:rsidR="005C67C0" w:rsidRPr="001906E2">
        <w:rPr>
          <w:rFonts w:asciiTheme="minorHAnsi" w:hAnsiTheme="minorHAnsi" w:cstheme="minorHAnsi"/>
          <w:sz w:val="21"/>
          <w:szCs w:val="21"/>
        </w:rPr>
        <w:t>,</w:t>
      </w:r>
      <w:r w:rsidR="001906E2" w:rsidRPr="001906E2">
        <w:rPr>
          <w:rFonts w:asciiTheme="minorHAnsi" w:hAnsiTheme="minorHAnsi" w:cstheme="minorHAnsi"/>
          <w:sz w:val="21"/>
          <w:szCs w:val="21"/>
        </w:rPr>
        <w:t>0</w:t>
      </w:r>
      <w:r w:rsidRPr="001906E2">
        <w:rPr>
          <w:rFonts w:asciiTheme="minorHAnsi" w:hAnsiTheme="minorHAnsi" w:cstheme="minorHAnsi"/>
          <w:sz w:val="21"/>
          <w:szCs w:val="21"/>
        </w:rPr>
        <w:t> %, ČPZP o </w:t>
      </w:r>
      <w:r w:rsidR="001906E2" w:rsidRPr="001906E2">
        <w:rPr>
          <w:rFonts w:asciiTheme="minorHAnsi" w:hAnsiTheme="minorHAnsi" w:cstheme="minorHAnsi"/>
          <w:sz w:val="21"/>
          <w:szCs w:val="21"/>
        </w:rPr>
        <w:t>6</w:t>
      </w:r>
      <w:r w:rsidR="005C67C0" w:rsidRPr="001906E2">
        <w:rPr>
          <w:rFonts w:asciiTheme="minorHAnsi" w:hAnsiTheme="minorHAnsi" w:cstheme="minorHAnsi"/>
          <w:sz w:val="21"/>
          <w:szCs w:val="21"/>
        </w:rPr>
        <w:t>,</w:t>
      </w:r>
      <w:r w:rsidR="001906E2" w:rsidRPr="001906E2">
        <w:rPr>
          <w:rFonts w:asciiTheme="minorHAnsi" w:hAnsiTheme="minorHAnsi" w:cstheme="minorHAnsi"/>
          <w:sz w:val="21"/>
          <w:szCs w:val="21"/>
        </w:rPr>
        <w:t>6</w:t>
      </w:r>
      <w:r w:rsidRPr="001906E2">
        <w:rPr>
          <w:rFonts w:asciiTheme="minorHAnsi" w:hAnsiTheme="minorHAnsi" w:cstheme="minorHAnsi"/>
          <w:sz w:val="21"/>
          <w:szCs w:val="21"/>
        </w:rPr>
        <w:t> %, OZP o </w:t>
      </w:r>
      <w:r w:rsidR="001906E2" w:rsidRPr="001906E2">
        <w:rPr>
          <w:rFonts w:asciiTheme="minorHAnsi" w:hAnsiTheme="minorHAnsi" w:cstheme="minorHAnsi"/>
          <w:sz w:val="21"/>
          <w:szCs w:val="21"/>
        </w:rPr>
        <w:t>7</w:t>
      </w:r>
      <w:r w:rsidR="00201994" w:rsidRPr="001906E2">
        <w:rPr>
          <w:rFonts w:asciiTheme="minorHAnsi" w:hAnsiTheme="minorHAnsi" w:cstheme="minorHAnsi"/>
          <w:sz w:val="21"/>
          <w:szCs w:val="21"/>
        </w:rPr>
        <w:t>,</w:t>
      </w:r>
      <w:r w:rsidR="001906E2" w:rsidRPr="001906E2">
        <w:rPr>
          <w:rFonts w:asciiTheme="minorHAnsi" w:hAnsiTheme="minorHAnsi" w:cstheme="minorHAnsi"/>
          <w:sz w:val="21"/>
          <w:szCs w:val="21"/>
        </w:rPr>
        <w:t>3</w:t>
      </w:r>
      <w:r w:rsidRPr="001906E2">
        <w:rPr>
          <w:rFonts w:asciiTheme="minorHAnsi" w:hAnsiTheme="minorHAnsi" w:cstheme="minorHAnsi"/>
          <w:sz w:val="21"/>
          <w:szCs w:val="21"/>
        </w:rPr>
        <w:t> %, ZPŠ o </w:t>
      </w:r>
      <w:r w:rsidR="001906E2" w:rsidRPr="001906E2">
        <w:rPr>
          <w:rFonts w:asciiTheme="minorHAnsi" w:hAnsiTheme="minorHAnsi" w:cstheme="minorHAnsi"/>
          <w:sz w:val="21"/>
          <w:szCs w:val="21"/>
        </w:rPr>
        <w:t>6</w:t>
      </w:r>
      <w:r w:rsidR="005C67C0" w:rsidRPr="001906E2">
        <w:rPr>
          <w:rFonts w:asciiTheme="minorHAnsi" w:hAnsiTheme="minorHAnsi" w:cstheme="minorHAnsi"/>
          <w:sz w:val="21"/>
          <w:szCs w:val="21"/>
        </w:rPr>
        <w:t>,</w:t>
      </w:r>
      <w:r w:rsidR="001906E2" w:rsidRPr="001906E2">
        <w:rPr>
          <w:rFonts w:asciiTheme="minorHAnsi" w:hAnsiTheme="minorHAnsi" w:cstheme="minorHAnsi"/>
          <w:sz w:val="21"/>
          <w:szCs w:val="21"/>
        </w:rPr>
        <w:t>8</w:t>
      </w:r>
      <w:r w:rsidRPr="001906E2">
        <w:rPr>
          <w:rFonts w:asciiTheme="minorHAnsi" w:hAnsiTheme="minorHAnsi" w:cstheme="minorHAnsi"/>
          <w:sz w:val="21"/>
          <w:szCs w:val="21"/>
        </w:rPr>
        <w:t> %, ZP MV ČR o </w:t>
      </w:r>
      <w:r w:rsidR="001906E2" w:rsidRPr="001906E2">
        <w:rPr>
          <w:rFonts w:asciiTheme="minorHAnsi" w:hAnsiTheme="minorHAnsi" w:cstheme="minorHAnsi"/>
          <w:sz w:val="21"/>
          <w:szCs w:val="21"/>
        </w:rPr>
        <w:t>9</w:t>
      </w:r>
      <w:r w:rsidR="005C67C0" w:rsidRPr="001906E2">
        <w:rPr>
          <w:rFonts w:asciiTheme="minorHAnsi" w:hAnsiTheme="minorHAnsi" w:cstheme="minorHAnsi"/>
          <w:sz w:val="21"/>
          <w:szCs w:val="21"/>
        </w:rPr>
        <w:t>,</w:t>
      </w:r>
      <w:r w:rsidR="001906E2" w:rsidRPr="001906E2">
        <w:rPr>
          <w:rFonts w:asciiTheme="minorHAnsi" w:hAnsiTheme="minorHAnsi" w:cstheme="minorHAnsi"/>
          <w:sz w:val="21"/>
          <w:szCs w:val="21"/>
        </w:rPr>
        <w:t>6</w:t>
      </w:r>
      <w:r w:rsidRPr="001906E2">
        <w:rPr>
          <w:rFonts w:asciiTheme="minorHAnsi" w:hAnsiTheme="minorHAnsi" w:cstheme="minorHAnsi"/>
          <w:sz w:val="21"/>
          <w:szCs w:val="21"/>
        </w:rPr>
        <w:t> % a RBP o </w:t>
      </w:r>
      <w:r w:rsidR="001906E2" w:rsidRPr="001906E2">
        <w:rPr>
          <w:rFonts w:asciiTheme="minorHAnsi" w:hAnsiTheme="minorHAnsi" w:cstheme="minorHAnsi"/>
          <w:sz w:val="21"/>
          <w:szCs w:val="21"/>
        </w:rPr>
        <w:t>7</w:t>
      </w:r>
      <w:r w:rsidR="005C67C0" w:rsidRPr="001906E2">
        <w:rPr>
          <w:rFonts w:asciiTheme="minorHAnsi" w:hAnsiTheme="minorHAnsi" w:cstheme="minorHAnsi"/>
          <w:sz w:val="21"/>
          <w:szCs w:val="21"/>
        </w:rPr>
        <w:t>,</w:t>
      </w:r>
      <w:r w:rsidR="001906E2" w:rsidRPr="001906E2">
        <w:rPr>
          <w:rFonts w:asciiTheme="minorHAnsi" w:hAnsiTheme="minorHAnsi" w:cstheme="minorHAnsi"/>
          <w:sz w:val="21"/>
          <w:szCs w:val="21"/>
        </w:rPr>
        <w:t>7</w:t>
      </w:r>
      <w:r w:rsidRPr="001906E2">
        <w:rPr>
          <w:rFonts w:asciiTheme="minorHAnsi" w:hAnsiTheme="minorHAnsi" w:cstheme="minorHAnsi"/>
          <w:sz w:val="21"/>
          <w:szCs w:val="21"/>
        </w:rPr>
        <w:t> % (</w:t>
      </w:r>
      <w:r w:rsidRPr="001906E2">
        <w:rPr>
          <w:rFonts w:asciiTheme="minorHAnsi" w:hAnsiTheme="minorHAnsi" w:cstheme="minorHAnsi"/>
          <w:i/>
          <w:sz w:val="21"/>
          <w:szCs w:val="21"/>
        </w:rPr>
        <w:t>Tabulka č. 12).</w:t>
      </w:r>
    </w:p>
    <w:p w14:paraId="33D0C24F" w14:textId="48E32121" w:rsidR="007036D6" w:rsidRPr="0043299F" w:rsidRDefault="007036D6" w:rsidP="0021299E">
      <w:pPr>
        <w:pStyle w:val="TEXT"/>
        <w:spacing w:before="180" w:after="180" w:line="276" w:lineRule="auto"/>
        <w:ind w:firstLine="0"/>
        <w:rPr>
          <w:rFonts w:asciiTheme="minorHAnsi" w:hAnsiTheme="minorHAnsi" w:cstheme="minorHAnsi"/>
          <w:sz w:val="21"/>
          <w:szCs w:val="21"/>
        </w:rPr>
      </w:pPr>
      <w:r w:rsidRPr="001906E2">
        <w:rPr>
          <w:rFonts w:asciiTheme="minorHAnsi" w:hAnsiTheme="minorHAnsi" w:cstheme="minorHAnsi"/>
          <w:sz w:val="21"/>
          <w:szCs w:val="21"/>
        </w:rPr>
        <w:t xml:space="preserve">Zároveň je nutné uvést, že VZP ČR má i nejvyšší příjmy na 1 pojištěnce z pojistného v. z. p. včetně vlivu přerozdělování ve </w:t>
      </w:r>
      <w:r w:rsidRPr="0043299F">
        <w:rPr>
          <w:rFonts w:asciiTheme="minorHAnsi" w:hAnsiTheme="minorHAnsi" w:cstheme="minorHAnsi"/>
          <w:sz w:val="21"/>
          <w:szCs w:val="21"/>
        </w:rPr>
        <w:t xml:space="preserve">výši </w:t>
      </w:r>
      <w:r w:rsidR="009105D9" w:rsidRPr="0043299F">
        <w:rPr>
          <w:rFonts w:asciiTheme="minorHAnsi" w:hAnsiTheme="minorHAnsi" w:cstheme="minorHAnsi"/>
          <w:sz w:val="21"/>
          <w:szCs w:val="21"/>
        </w:rPr>
        <w:t>4</w:t>
      </w:r>
      <w:r w:rsidR="0043299F" w:rsidRPr="0043299F">
        <w:rPr>
          <w:rFonts w:asciiTheme="minorHAnsi" w:hAnsiTheme="minorHAnsi" w:cstheme="minorHAnsi"/>
          <w:sz w:val="21"/>
          <w:szCs w:val="21"/>
        </w:rPr>
        <w:t>4</w:t>
      </w:r>
      <w:r w:rsidR="0036069A" w:rsidRPr="0043299F">
        <w:rPr>
          <w:rFonts w:asciiTheme="minorHAnsi" w:hAnsiTheme="minorHAnsi" w:cstheme="minorHAnsi"/>
          <w:sz w:val="21"/>
          <w:szCs w:val="21"/>
        </w:rPr>
        <w:t> </w:t>
      </w:r>
      <w:r w:rsidR="0043299F" w:rsidRPr="0043299F">
        <w:rPr>
          <w:rFonts w:asciiTheme="minorHAnsi" w:hAnsiTheme="minorHAnsi" w:cstheme="minorHAnsi"/>
          <w:sz w:val="21"/>
          <w:szCs w:val="21"/>
        </w:rPr>
        <w:t>158</w:t>
      </w:r>
      <w:r w:rsidRPr="0043299F">
        <w:rPr>
          <w:rFonts w:asciiTheme="minorHAnsi" w:hAnsiTheme="minorHAnsi" w:cstheme="minorHAnsi"/>
          <w:sz w:val="21"/>
          <w:szCs w:val="21"/>
        </w:rPr>
        <w:t xml:space="preserve"> Kč. Příjmy na 1 pojištěnce ZZP jsou v průměru </w:t>
      </w:r>
      <w:r w:rsidR="0043299F" w:rsidRPr="0043299F">
        <w:rPr>
          <w:rFonts w:asciiTheme="minorHAnsi" w:hAnsiTheme="minorHAnsi" w:cstheme="minorHAnsi"/>
          <w:sz w:val="21"/>
          <w:szCs w:val="21"/>
        </w:rPr>
        <w:t>40</w:t>
      </w:r>
      <w:r w:rsidR="0036069A" w:rsidRPr="0043299F">
        <w:rPr>
          <w:rFonts w:asciiTheme="minorHAnsi" w:hAnsiTheme="minorHAnsi" w:cstheme="minorHAnsi"/>
          <w:sz w:val="21"/>
          <w:szCs w:val="21"/>
        </w:rPr>
        <w:t> </w:t>
      </w:r>
      <w:r w:rsidR="0043299F" w:rsidRPr="0043299F">
        <w:rPr>
          <w:rFonts w:asciiTheme="minorHAnsi" w:hAnsiTheme="minorHAnsi" w:cstheme="minorHAnsi"/>
          <w:sz w:val="21"/>
          <w:szCs w:val="21"/>
        </w:rPr>
        <w:t>355</w:t>
      </w:r>
      <w:r w:rsidRPr="0043299F">
        <w:rPr>
          <w:rFonts w:asciiTheme="minorHAnsi" w:hAnsiTheme="minorHAnsi" w:cstheme="minorHAnsi"/>
          <w:sz w:val="21"/>
          <w:szCs w:val="21"/>
        </w:rPr>
        <w:t xml:space="preserve"> Kč.</w:t>
      </w:r>
    </w:p>
    <w:p w14:paraId="6ABB1FE5" w14:textId="5E8F83B6" w:rsidR="007036D6" w:rsidRPr="0043299F" w:rsidRDefault="007036D6" w:rsidP="0021299E">
      <w:pPr>
        <w:pStyle w:val="TEXT"/>
        <w:spacing w:before="180" w:after="180" w:line="276" w:lineRule="auto"/>
        <w:ind w:firstLine="0"/>
        <w:rPr>
          <w:rFonts w:asciiTheme="minorHAnsi" w:hAnsiTheme="minorHAnsi" w:cstheme="minorHAnsi"/>
          <w:sz w:val="21"/>
          <w:szCs w:val="21"/>
        </w:rPr>
      </w:pPr>
      <w:r w:rsidRPr="0043299F">
        <w:rPr>
          <w:rFonts w:asciiTheme="minorHAnsi" w:hAnsiTheme="minorHAnsi" w:cstheme="minorHAnsi"/>
          <w:sz w:val="21"/>
          <w:szCs w:val="21"/>
        </w:rPr>
        <w:t xml:space="preserve">V objemově největším segmentu </w:t>
      </w:r>
      <w:r w:rsidRPr="0043299F">
        <w:rPr>
          <w:rFonts w:asciiTheme="minorHAnsi" w:hAnsiTheme="minorHAnsi" w:cstheme="minorHAnsi"/>
          <w:b/>
          <w:sz w:val="21"/>
          <w:szCs w:val="21"/>
        </w:rPr>
        <w:t>lůžkové zdravotní péče</w:t>
      </w:r>
      <w:r w:rsidRPr="0043299F">
        <w:rPr>
          <w:rFonts w:asciiTheme="minorHAnsi" w:hAnsiTheme="minorHAnsi" w:cstheme="minorHAnsi"/>
          <w:sz w:val="21"/>
          <w:szCs w:val="21"/>
        </w:rPr>
        <w:t xml:space="preserve"> byl nárůst nákladů v přepočtu na 1 pojištěnce o </w:t>
      </w:r>
      <w:r w:rsidR="009A7184" w:rsidRPr="0043299F">
        <w:rPr>
          <w:rFonts w:asciiTheme="minorHAnsi" w:hAnsiTheme="minorHAnsi" w:cstheme="minorHAnsi"/>
          <w:sz w:val="21"/>
          <w:szCs w:val="21"/>
        </w:rPr>
        <w:t>9</w:t>
      </w:r>
      <w:r w:rsidR="000A7526" w:rsidRPr="0043299F">
        <w:rPr>
          <w:rFonts w:asciiTheme="minorHAnsi" w:hAnsiTheme="minorHAnsi" w:cstheme="minorHAnsi"/>
          <w:sz w:val="21"/>
          <w:szCs w:val="21"/>
        </w:rPr>
        <w:t>,</w:t>
      </w:r>
      <w:r w:rsidR="009A7184" w:rsidRPr="0043299F">
        <w:rPr>
          <w:rFonts w:asciiTheme="minorHAnsi" w:hAnsiTheme="minorHAnsi" w:cstheme="minorHAnsi"/>
          <w:sz w:val="21"/>
          <w:szCs w:val="21"/>
        </w:rPr>
        <w:t>1</w:t>
      </w:r>
      <w:r w:rsidRPr="0043299F">
        <w:rPr>
          <w:rFonts w:asciiTheme="minorHAnsi" w:hAnsiTheme="minorHAnsi" w:cstheme="minorHAnsi"/>
          <w:sz w:val="21"/>
          <w:szCs w:val="21"/>
        </w:rPr>
        <w:t> % (tj.</w:t>
      </w:r>
      <w:r w:rsidR="006B7BB1" w:rsidRPr="0043299F">
        <w:rPr>
          <w:rFonts w:asciiTheme="minorHAnsi" w:hAnsiTheme="minorHAnsi" w:cstheme="minorHAnsi"/>
          <w:sz w:val="21"/>
          <w:szCs w:val="21"/>
        </w:rPr>
        <w:t> </w:t>
      </w:r>
      <w:r w:rsidRPr="0043299F">
        <w:rPr>
          <w:rFonts w:asciiTheme="minorHAnsi" w:hAnsiTheme="minorHAnsi" w:cstheme="minorHAnsi"/>
          <w:sz w:val="21"/>
          <w:szCs w:val="21"/>
        </w:rPr>
        <w:t>o </w:t>
      </w:r>
      <w:r w:rsidR="00EC6143" w:rsidRPr="0043299F">
        <w:rPr>
          <w:rFonts w:asciiTheme="minorHAnsi" w:hAnsiTheme="minorHAnsi" w:cstheme="minorHAnsi"/>
          <w:sz w:val="21"/>
          <w:szCs w:val="21"/>
        </w:rPr>
        <w:t>1</w:t>
      </w:r>
      <w:r w:rsidR="0043299F" w:rsidRPr="0043299F">
        <w:rPr>
          <w:rFonts w:asciiTheme="minorHAnsi" w:hAnsiTheme="minorHAnsi" w:cstheme="minorHAnsi"/>
          <w:sz w:val="21"/>
          <w:szCs w:val="21"/>
        </w:rPr>
        <w:t xml:space="preserve"> 985</w:t>
      </w:r>
      <w:r w:rsidRPr="0043299F">
        <w:rPr>
          <w:rFonts w:asciiTheme="minorHAnsi" w:hAnsiTheme="minorHAnsi" w:cstheme="minorHAnsi"/>
          <w:sz w:val="21"/>
          <w:szCs w:val="21"/>
        </w:rPr>
        <w:t xml:space="preserve"> Kč) </w:t>
      </w:r>
      <w:r w:rsidR="00A627E3" w:rsidRPr="0043299F">
        <w:rPr>
          <w:rFonts w:asciiTheme="minorHAnsi" w:hAnsiTheme="minorHAnsi" w:cstheme="minorHAnsi"/>
          <w:sz w:val="21"/>
          <w:szCs w:val="21"/>
        </w:rPr>
        <w:t xml:space="preserve">vyšší </w:t>
      </w:r>
      <w:r w:rsidRPr="0043299F">
        <w:rPr>
          <w:rFonts w:asciiTheme="minorHAnsi" w:hAnsiTheme="minorHAnsi" w:cstheme="minorHAnsi"/>
          <w:sz w:val="21"/>
          <w:szCs w:val="21"/>
        </w:rPr>
        <w:t>oproti roku 20</w:t>
      </w:r>
      <w:r w:rsidR="00221CF1" w:rsidRPr="0043299F">
        <w:rPr>
          <w:rFonts w:asciiTheme="minorHAnsi" w:hAnsiTheme="minorHAnsi" w:cstheme="minorHAnsi"/>
          <w:sz w:val="21"/>
          <w:szCs w:val="21"/>
        </w:rPr>
        <w:t>2</w:t>
      </w:r>
      <w:r w:rsidR="009A7184" w:rsidRPr="0043299F">
        <w:rPr>
          <w:rFonts w:asciiTheme="minorHAnsi" w:hAnsiTheme="minorHAnsi" w:cstheme="minorHAnsi"/>
          <w:sz w:val="21"/>
          <w:szCs w:val="21"/>
        </w:rPr>
        <w:t>2</w:t>
      </w:r>
      <w:r w:rsidRPr="0043299F">
        <w:rPr>
          <w:rFonts w:asciiTheme="minorHAnsi" w:hAnsiTheme="minorHAnsi" w:cstheme="minorHAnsi"/>
          <w:sz w:val="21"/>
          <w:szCs w:val="21"/>
        </w:rPr>
        <w:t>. U </w:t>
      </w:r>
      <w:r w:rsidRPr="0043299F">
        <w:rPr>
          <w:rFonts w:asciiTheme="minorHAnsi" w:hAnsiTheme="minorHAnsi" w:cstheme="minorHAnsi"/>
          <w:b/>
          <w:sz w:val="21"/>
          <w:szCs w:val="21"/>
        </w:rPr>
        <w:t>ambulantní péče</w:t>
      </w:r>
      <w:r w:rsidRPr="0043299F">
        <w:rPr>
          <w:rFonts w:asciiTheme="minorHAnsi" w:hAnsiTheme="minorHAnsi" w:cstheme="minorHAnsi"/>
          <w:sz w:val="21"/>
          <w:szCs w:val="21"/>
        </w:rPr>
        <w:t xml:space="preserve"> došlo k navýšení nákladů celkem o </w:t>
      </w:r>
      <w:r w:rsidR="009A7184" w:rsidRPr="0043299F">
        <w:rPr>
          <w:rFonts w:asciiTheme="minorHAnsi" w:hAnsiTheme="minorHAnsi" w:cstheme="minorHAnsi"/>
          <w:sz w:val="21"/>
          <w:szCs w:val="21"/>
        </w:rPr>
        <w:t>9</w:t>
      </w:r>
      <w:r w:rsidR="000A7526" w:rsidRPr="0043299F">
        <w:rPr>
          <w:rFonts w:asciiTheme="minorHAnsi" w:hAnsiTheme="minorHAnsi" w:cstheme="minorHAnsi"/>
          <w:sz w:val="21"/>
          <w:szCs w:val="21"/>
        </w:rPr>
        <w:t>,</w:t>
      </w:r>
      <w:r w:rsidR="009A7184" w:rsidRPr="0043299F">
        <w:rPr>
          <w:rFonts w:asciiTheme="minorHAnsi" w:hAnsiTheme="minorHAnsi" w:cstheme="minorHAnsi"/>
          <w:sz w:val="21"/>
          <w:szCs w:val="21"/>
        </w:rPr>
        <w:t>3</w:t>
      </w:r>
      <w:r w:rsidRPr="0043299F">
        <w:rPr>
          <w:rFonts w:asciiTheme="minorHAnsi" w:hAnsiTheme="minorHAnsi" w:cstheme="minorHAnsi"/>
          <w:sz w:val="21"/>
          <w:szCs w:val="21"/>
        </w:rPr>
        <w:t xml:space="preserve"> % (tj. o </w:t>
      </w:r>
      <w:r w:rsidR="0043299F" w:rsidRPr="0043299F">
        <w:rPr>
          <w:rFonts w:asciiTheme="minorHAnsi" w:hAnsiTheme="minorHAnsi" w:cstheme="minorHAnsi"/>
          <w:sz w:val="21"/>
          <w:szCs w:val="21"/>
        </w:rPr>
        <w:t>980</w:t>
      </w:r>
      <w:r w:rsidRPr="0043299F">
        <w:rPr>
          <w:rFonts w:asciiTheme="minorHAnsi" w:hAnsiTheme="minorHAnsi" w:cstheme="minorHAnsi"/>
          <w:sz w:val="21"/>
          <w:szCs w:val="21"/>
        </w:rPr>
        <w:t xml:space="preserve"> Kč). U</w:t>
      </w:r>
      <w:r w:rsidR="009E2EEF" w:rsidRPr="0043299F">
        <w:rPr>
          <w:rFonts w:asciiTheme="minorHAnsi" w:hAnsiTheme="minorHAnsi" w:cstheme="minorHAnsi"/>
          <w:sz w:val="21"/>
          <w:szCs w:val="21"/>
        </w:rPr>
        <w:t> </w:t>
      </w:r>
      <w:r w:rsidRPr="0043299F">
        <w:rPr>
          <w:rFonts w:asciiTheme="minorHAnsi" w:hAnsiTheme="minorHAnsi" w:cstheme="minorHAnsi"/>
          <w:b/>
          <w:sz w:val="21"/>
          <w:szCs w:val="21"/>
        </w:rPr>
        <w:t>ostatních nákladů</w:t>
      </w:r>
      <w:r w:rsidRPr="0043299F">
        <w:rPr>
          <w:rFonts w:asciiTheme="minorHAnsi" w:hAnsiTheme="minorHAnsi" w:cstheme="minorHAnsi"/>
          <w:sz w:val="21"/>
          <w:szCs w:val="21"/>
        </w:rPr>
        <w:t xml:space="preserve"> došlo k</w:t>
      </w:r>
      <w:r w:rsidR="0044786E" w:rsidRPr="0043299F">
        <w:rPr>
          <w:rFonts w:asciiTheme="minorHAnsi" w:hAnsiTheme="minorHAnsi" w:cstheme="minorHAnsi"/>
          <w:sz w:val="21"/>
          <w:szCs w:val="21"/>
        </w:rPr>
        <w:t>e</w:t>
      </w:r>
      <w:r w:rsidRPr="0043299F">
        <w:rPr>
          <w:rFonts w:asciiTheme="minorHAnsi" w:hAnsiTheme="minorHAnsi" w:cstheme="minorHAnsi"/>
          <w:sz w:val="21"/>
          <w:szCs w:val="21"/>
        </w:rPr>
        <w:t xml:space="preserve"> </w:t>
      </w:r>
      <w:r w:rsidR="009A7184" w:rsidRPr="0043299F">
        <w:rPr>
          <w:rFonts w:asciiTheme="minorHAnsi" w:hAnsiTheme="minorHAnsi" w:cstheme="minorHAnsi"/>
          <w:sz w:val="21"/>
          <w:szCs w:val="21"/>
        </w:rPr>
        <w:t>zvýšení</w:t>
      </w:r>
      <w:r w:rsidRPr="0043299F">
        <w:rPr>
          <w:rFonts w:asciiTheme="minorHAnsi" w:hAnsiTheme="minorHAnsi" w:cstheme="minorHAnsi"/>
          <w:sz w:val="21"/>
          <w:szCs w:val="21"/>
        </w:rPr>
        <w:t xml:space="preserve"> celkem o </w:t>
      </w:r>
      <w:r w:rsidR="009A7184" w:rsidRPr="0043299F">
        <w:rPr>
          <w:rFonts w:asciiTheme="minorHAnsi" w:hAnsiTheme="minorHAnsi" w:cstheme="minorHAnsi"/>
          <w:sz w:val="21"/>
          <w:szCs w:val="21"/>
        </w:rPr>
        <w:t>8</w:t>
      </w:r>
      <w:r w:rsidR="000A7526" w:rsidRPr="0043299F">
        <w:rPr>
          <w:rFonts w:asciiTheme="minorHAnsi" w:hAnsiTheme="minorHAnsi" w:cstheme="minorHAnsi"/>
          <w:sz w:val="21"/>
          <w:szCs w:val="21"/>
        </w:rPr>
        <w:t>,</w:t>
      </w:r>
      <w:r w:rsidR="009A7184" w:rsidRPr="0043299F">
        <w:rPr>
          <w:rFonts w:asciiTheme="minorHAnsi" w:hAnsiTheme="minorHAnsi" w:cstheme="minorHAnsi"/>
          <w:sz w:val="21"/>
          <w:szCs w:val="21"/>
        </w:rPr>
        <w:t>4</w:t>
      </w:r>
      <w:r w:rsidRPr="0043299F">
        <w:rPr>
          <w:rFonts w:asciiTheme="minorHAnsi" w:hAnsiTheme="minorHAnsi" w:cstheme="minorHAnsi"/>
          <w:sz w:val="21"/>
          <w:szCs w:val="21"/>
        </w:rPr>
        <w:t xml:space="preserve"> %, tj. o </w:t>
      </w:r>
      <w:r w:rsidR="0043299F" w:rsidRPr="0043299F">
        <w:rPr>
          <w:rFonts w:asciiTheme="minorHAnsi" w:hAnsiTheme="minorHAnsi" w:cstheme="minorHAnsi"/>
          <w:sz w:val="21"/>
          <w:szCs w:val="21"/>
        </w:rPr>
        <w:t>519</w:t>
      </w:r>
      <w:r w:rsidR="0044786E" w:rsidRPr="0043299F">
        <w:rPr>
          <w:rFonts w:asciiTheme="minorHAnsi" w:hAnsiTheme="minorHAnsi" w:cstheme="minorHAnsi"/>
          <w:sz w:val="21"/>
          <w:szCs w:val="21"/>
        </w:rPr>
        <w:t xml:space="preserve"> </w:t>
      </w:r>
      <w:r w:rsidRPr="0043299F">
        <w:rPr>
          <w:rFonts w:asciiTheme="minorHAnsi" w:hAnsiTheme="minorHAnsi" w:cstheme="minorHAnsi"/>
          <w:sz w:val="21"/>
          <w:szCs w:val="21"/>
        </w:rPr>
        <w:t>Kč (</w:t>
      </w:r>
      <w:r w:rsidRPr="0043299F">
        <w:rPr>
          <w:rFonts w:asciiTheme="minorHAnsi" w:hAnsiTheme="minorHAnsi" w:cstheme="minorHAnsi"/>
          <w:i/>
          <w:sz w:val="21"/>
          <w:szCs w:val="21"/>
        </w:rPr>
        <w:t>Tabulka č. 11</w:t>
      </w:r>
      <w:r w:rsidRPr="0043299F">
        <w:rPr>
          <w:rFonts w:asciiTheme="minorHAnsi" w:hAnsiTheme="minorHAnsi" w:cstheme="minorHAnsi"/>
          <w:sz w:val="21"/>
          <w:szCs w:val="21"/>
        </w:rPr>
        <w:t xml:space="preserve"> a </w:t>
      </w:r>
      <w:r w:rsidR="000E7F13" w:rsidRPr="0043299F">
        <w:rPr>
          <w:rFonts w:asciiTheme="minorHAnsi" w:hAnsiTheme="minorHAnsi" w:cstheme="minorHAnsi"/>
          <w:i/>
          <w:sz w:val="21"/>
          <w:szCs w:val="21"/>
        </w:rPr>
        <w:t>Graf č</w:t>
      </w:r>
      <w:r w:rsidRPr="0043299F">
        <w:rPr>
          <w:rFonts w:asciiTheme="minorHAnsi" w:hAnsiTheme="minorHAnsi" w:cstheme="minorHAnsi"/>
          <w:i/>
          <w:sz w:val="21"/>
          <w:szCs w:val="21"/>
        </w:rPr>
        <w:t>. 16</w:t>
      </w:r>
      <w:r w:rsidRPr="0043299F">
        <w:rPr>
          <w:rFonts w:asciiTheme="minorHAnsi" w:hAnsiTheme="minorHAnsi" w:cstheme="minorHAnsi"/>
          <w:sz w:val="21"/>
          <w:szCs w:val="21"/>
        </w:rPr>
        <w:t>).</w:t>
      </w:r>
    </w:p>
    <w:p w14:paraId="0737659B" w14:textId="0E3B73D4" w:rsidR="004F12DF" w:rsidRPr="00E802FC" w:rsidRDefault="000E7F13" w:rsidP="004F12DF">
      <w:pPr>
        <w:pStyle w:val="Titulek"/>
        <w:jc w:val="both"/>
      </w:pPr>
      <w:bookmarkStart w:id="52" w:name="_Toc41837503"/>
      <w:bookmarkStart w:id="53" w:name="_Toc168993236"/>
      <w:r w:rsidRPr="00E802FC">
        <w:t xml:space="preserve">Tabulka č. </w:t>
      </w:r>
      <w:r w:rsidRPr="00E802FC">
        <w:rPr>
          <w:noProof/>
        </w:rPr>
        <w:fldChar w:fldCharType="begin"/>
      </w:r>
      <w:r w:rsidRPr="00E802FC">
        <w:rPr>
          <w:noProof/>
        </w:rPr>
        <w:instrText xml:space="preserve"> SEQ Tabulka \* ARABIC </w:instrText>
      </w:r>
      <w:r w:rsidRPr="00E802FC">
        <w:rPr>
          <w:noProof/>
        </w:rPr>
        <w:fldChar w:fldCharType="separate"/>
      </w:r>
      <w:r w:rsidR="00904274">
        <w:rPr>
          <w:noProof/>
        </w:rPr>
        <w:t>11</w:t>
      </w:r>
      <w:r w:rsidRPr="00E802FC">
        <w:rPr>
          <w:noProof/>
        </w:rPr>
        <w:fldChar w:fldCharType="end"/>
      </w:r>
      <w:r w:rsidRPr="00E802FC">
        <w:t>: Vývoj nákladů na zdravotní služby</w:t>
      </w:r>
      <w:r w:rsidR="003D4982" w:rsidRPr="00E802FC">
        <w:t xml:space="preserve"> ze ZFZP</w:t>
      </w:r>
      <w:r w:rsidRPr="00E802FC">
        <w:t xml:space="preserve"> podle segmentů v přepočtu na pojištěnce</w:t>
      </w:r>
      <w:bookmarkEnd w:id="52"/>
      <w:bookmarkEnd w:id="53"/>
      <w:r w:rsidR="0021299E" w:rsidRPr="00E802FC">
        <w:t xml:space="preserve"> </w:t>
      </w:r>
    </w:p>
    <w:tbl>
      <w:tblPr>
        <w:tblW w:w="9080" w:type="dxa"/>
        <w:tblCellMar>
          <w:left w:w="70" w:type="dxa"/>
          <w:right w:w="70" w:type="dxa"/>
        </w:tblCellMar>
        <w:tblLook w:val="04A0" w:firstRow="1" w:lastRow="0" w:firstColumn="1" w:lastColumn="0" w:noHBand="0" w:noVBand="1"/>
      </w:tblPr>
      <w:tblGrid>
        <w:gridCol w:w="2080"/>
        <w:gridCol w:w="1000"/>
        <w:gridCol w:w="1000"/>
        <w:gridCol w:w="1000"/>
        <w:gridCol w:w="1000"/>
        <w:gridCol w:w="1000"/>
        <w:gridCol w:w="1000"/>
        <w:gridCol w:w="1000"/>
      </w:tblGrid>
      <w:tr w:rsidR="00E802FC" w:rsidRPr="00E802FC" w14:paraId="0479C1C0" w14:textId="77777777" w:rsidTr="00E802FC">
        <w:trPr>
          <w:trHeight w:val="600"/>
        </w:trPr>
        <w:tc>
          <w:tcPr>
            <w:tcW w:w="2080" w:type="dxa"/>
            <w:tcBorders>
              <w:top w:val="single" w:sz="8" w:space="0" w:color="4F81BD"/>
              <w:left w:val="single" w:sz="8" w:space="0" w:color="4F81BD"/>
              <w:bottom w:val="nil"/>
              <w:right w:val="nil"/>
            </w:tcBorders>
            <w:shd w:val="clear" w:color="000000" w:fill="4F81BD"/>
            <w:hideMark/>
          </w:tcPr>
          <w:p w14:paraId="32ACA1B7" w14:textId="77777777" w:rsidR="00E802FC" w:rsidRPr="00E802FC" w:rsidRDefault="00E802FC" w:rsidP="00E802FC">
            <w:pPr>
              <w:spacing w:after="0" w:line="240" w:lineRule="auto"/>
              <w:rPr>
                <w:rFonts w:ascii="Calibri" w:eastAsia="Times New Roman" w:hAnsi="Calibri" w:cs="Calibri"/>
                <w:b/>
                <w:bCs/>
                <w:color w:val="FFFFFF"/>
                <w:szCs w:val="21"/>
                <w:lang w:eastAsia="cs-CZ"/>
              </w:rPr>
            </w:pPr>
            <w:r w:rsidRPr="00E802FC">
              <w:rPr>
                <w:rFonts w:ascii="Calibri" w:eastAsia="Times New Roman" w:hAnsi="Calibri" w:cs="Calibri"/>
                <w:b/>
                <w:bCs/>
                <w:color w:val="FFFFFF"/>
                <w:szCs w:val="21"/>
                <w:lang w:eastAsia="cs-CZ"/>
              </w:rPr>
              <w:t>Ukazatel</w:t>
            </w:r>
            <w:r w:rsidRPr="00E802FC">
              <w:rPr>
                <w:rFonts w:ascii="Calibri" w:eastAsia="Times New Roman" w:hAnsi="Calibri" w:cs="Calibri"/>
                <w:b/>
                <w:bCs/>
                <w:color w:val="FFFFFF"/>
                <w:szCs w:val="21"/>
                <w:lang w:eastAsia="cs-CZ"/>
              </w:rPr>
              <w:br/>
            </w:r>
            <w:r w:rsidRPr="00E802FC">
              <w:rPr>
                <w:rFonts w:ascii="Calibri" w:eastAsia="Times New Roman" w:hAnsi="Calibri" w:cs="Calibri"/>
                <w:color w:val="FFFFFF"/>
                <w:szCs w:val="21"/>
                <w:lang w:eastAsia="cs-CZ"/>
              </w:rPr>
              <w:t>(v Kč)</w:t>
            </w:r>
          </w:p>
        </w:tc>
        <w:tc>
          <w:tcPr>
            <w:tcW w:w="1000" w:type="dxa"/>
            <w:tcBorders>
              <w:top w:val="single" w:sz="8" w:space="0" w:color="4F81BD"/>
              <w:left w:val="nil"/>
              <w:bottom w:val="nil"/>
              <w:right w:val="nil"/>
            </w:tcBorders>
            <w:shd w:val="clear" w:color="000000" w:fill="6691C6"/>
            <w:hideMark/>
          </w:tcPr>
          <w:p w14:paraId="23C4BFCD" w14:textId="77777777" w:rsidR="00E802FC" w:rsidRPr="00E802FC" w:rsidRDefault="00E802FC" w:rsidP="00E802FC">
            <w:pPr>
              <w:spacing w:after="0" w:line="240" w:lineRule="auto"/>
              <w:jc w:val="center"/>
              <w:rPr>
                <w:rFonts w:ascii="Calibri" w:eastAsia="Times New Roman" w:hAnsi="Calibri" w:cs="Calibri"/>
                <w:b/>
                <w:bCs/>
                <w:color w:val="FFFFFF"/>
                <w:szCs w:val="21"/>
                <w:lang w:eastAsia="cs-CZ"/>
              </w:rPr>
            </w:pPr>
            <w:r w:rsidRPr="00E802FC">
              <w:rPr>
                <w:rFonts w:ascii="Calibri" w:eastAsia="Times New Roman" w:hAnsi="Calibri" w:cs="Calibri"/>
                <w:b/>
                <w:bCs/>
                <w:color w:val="FFFFFF"/>
                <w:szCs w:val="21"/>
                <w:lang w:eastAsia="cs-CZ"/>
              </w:rPr>
              <w:t>2018</w:t>
            </w:r>
          </w:p>
        </w:tc>
        <w:tc>
          <w:tcPr>
            <w:tcW w:w="1000" w:type="dxa"/>
            <w:tcBorders>
              <w:top w:val="single" w:sz="8" w:space="0" w:color="4F81BD"/>
              <w:left w:val="nil"/>
              <w:bottom w:val="nil"/>
              <w:right w:val="nil"/>
            </w:tcBorders>
            <w:shd w:val="clear" w:color="000000" w:fill="4F81BD"/>
            <w:hideMark/>
          </w:tcPr>
          <w:p w14:paraId="4DFED88A" w14:textId="77777777" w:rsidR="00E802FC" w:rsidRPr="00E802FC" w:rsidRDefault="00E802FC" w:rsidP="00E802FC">
            <w:pPr>
              <w:spacing w:after="0" w:line="240" w:lineRule="auto"/>
              <w:jc w:val="center"/>
              <w:rPr>
                <w:rFonts w:ascii="Calibri" w:eastAsia="Times New Roman" w:hAnsi="Calibri" w:cs="Calibri"/>
                <w:b/>
                <w:bCs/>
                <w:color w:val="FFFFFF"/>
                <w:szCs w:val="21"/>
                <w:lang w:eastAsia="cs-CZ"/>
              </w:rPr>
            </w:pPr>
            <w:r w:rsidRPr="00E802FC">
              <w:rPr>
                <w:rFonts w:ascii="Calibri" w:eastAsia="Times New Roman" w:hAnsi="Calibri" w:cs="Calibri"/>
                <w:b/>
                <w:bCs/>
                <w:color w:val="FFFFFF"/>
                <w:szCs w:val="21"/>
                <w:lang w:eastAsia="cs-CZ"/>
              </w:rPr>
              <w:t>2019</w:t>
            </w:r>
          </w:p>
        </w:tc>
        <w:tc>
          <w:tcPr>
            <w:tcW w:w="1000" w:type="dxa"/>
            <w:tcBorders>
              <w:top w:val="single" w:sz="8" w:space="0" w:color="4F81BD"/>
              <w:left w:val="nil"/>
              <w:bottom w:val="nil"/>
              <w:right w:val="nil"/>
            </w:tcBorders>
            <w:shd w:val="clear" w:color="000000" w:fill="6691C6"/>
            <w:hideMark/>
          </w:tcPr>
          <w:p w14:paraId="44C60165" w14:textId="77777777" w:rsidR="00E802FC" w:rsidRPr="00E802FC" w:rsidRDefault="00E802FC" w:rsidP="00E802FC">
            <w:pPr>
              <w:spacing w:after="0" w:line="240" w:lineRule="auto"/>
              <w:jc w:val="center"/>
              <w:rPr>
                <w:rFonts w:ascii="Calibri" w:eastAsia="Times New Roman" w:hAnsi="Calibri" w:cs="Calibri"/>
                <w:b/>
                <w:bCs/>
                <w:color w:val="FFFFFF"/>
                <w:szCs w:val="21"/>
                <w:lang w:eastAsia="cs-CZ"/>
              </w:rPr>
            </w:pPr>
            <w:r w:rsidRPr="00E802FC">
              <w:rPr>
                <w:rFonts w:ascii="Calibri" w:eastAsia="Times New Roman" w:hAnsi="Calibri" w:cs="Calibri"/>
                <w:b/>
                <w:bCs/>
                <w:color w:val="FFFFFF"/>
                <w:szCs w:val="21"/>
                <w:lang w:eastAsia="cs-CZ"/>
              </w:rPr>
              <w:t>2020</w:t>
            </w:r>
          </w:p>
        </w:tc>
        <w:tc>
          <w:tcPr>
            <w:tcW w:w="1000" w:type="dxa"/>
            <w:tcBorders>
              <w:top w:val="single" w:sz="8" w:space="0" w:color="4F81BD"/>
              <w:left w:val="nil"/>
              <w:bottom w:val="nil"/>
              <w:right w:val="nil"/>
            </w:tcBorders>
            <w:shd w:val="clear" w:color="000000" w:fill="4F81BD"/>
            <w:hideMark/>
          </w:tcPr>
          <w:p w14:paraId="7B3062AB" w14:textId="77777777" w:rsidR="00E802FC" w:rsidRPr="00E802FC" w:rsidRDefault="00E802FC" w:rsidP="00E802FC">
            <w:pPr>
              <w:spacing w:after="0" w:line="240" w:lineRule="auto"/>
              <w:jc w:val="center"/>
              <w:rPr>
                <w:rFonts w:ascii="Calibri" w:eastAsia="Times New Roman" w:hAnsi="Calibri" w:cs="Calibri"/>
                <w:b/>
                <w:bCs/>
                <w:color w:val="FFFFFF"/>
                <w:szCs w:val="21"/>
                <w:lang w:eastAsia="cs-CZ"/>
              </w:rPr>
            </w:pPr>
            <w:r w:rsidRPr="00E802FC">
              <w:rPr>
                <w:rFonts w:ascii="Calibri" w:eastAsia="Times New Roman" w:hAnsi="Calibri" w:cs="Calibri"/>
                <w:b/>
                <w:bCs/>
                <w:color w:val="FFFFFF"/>
                <w:szCs w:val="21"/>
                <w:lang w:eastAsia="cs-CZ"/>
              </w:rPr>
              <w:t>2021</w:t>
            </w:r>
          </w:p>
        </w:tc>
        <w:tc>
          <w:tcPr>
            <w:tcW w:w="1000" w:type="dxa"/>
            <w:tcBorders>
              <w:top w:val="single" w:sz="8" w:space="0" w:color="4F81BD"/>
              <w:left w:val="nil"/>
              <w:bottom w:val="nil"/>
              <w:right w:val="nil"/>
            </w:tcBorders>
            <w:shd w:val="clear" w:color="000000" w:fill="6691C6"/>
            <w:hideMark/>
          </w:tcPr>
          <w:p w14:paraId="0A46384E" w14:textId="77777777" w:rsidR="00E802FC" w:rsidRPr="00E802FC" w:rsidRDefault="00E802FC" w:rsidP="00E802FC">
            <w:pPr>
              <w:spacing w:after="0" w:line="240" w:lineRule="auto"/>
              <w:jc w:val="center"/>
              <w:rPr>
                <w:rFonts w:ascii="Calibri" w:eastAsia="Times New Roman" w:hAnsi="Calibri" w:cs="Calibri"/>
                <w:b/>
                <w:bCs/>
                <w:color w:val="FFFFFF"/>
                <w:szCs w:val="21"/>
                <w:lang w:eastAsia="cs-CZ"/>
              </w:rPr>
            </w:pPr>
            <w:r w:rsidRPr="00E802FC">
              <w:rPr>
                <w:rFonts w:ascii="Calibri" w:eastAsia="Times New Roman" w:hAnsi="Calibri" w:cs="Calibri"/>
                <w:b/>
                <w:bCs/>
                <w:color w:val="FFFFFF"/>
                <w:szCs w:val="21"/>
                <w:lang w:eastAsia="cs-CZ"/>
              </w:rPr>
              <w:t>2022</w:t>
            </w:r>
          </w:p>
        </w:tc>
        <w:tc>
          <w:tcPr>
            <w:tcW w:w="1000" w:type="dxa"/>
            <w:tcBorders>
              <w:top w:val="single" w:sz="8" w:space="0" w:color="4F81BD"/>
              <w:left w:val="nil"/>
              <w:bottom w:val="nil"/>
              <w:right w:val="nil"/>
            </w:tcBorders>
            <w:shd w:val="clear" w:color="000000" w:fill="4F81BD"/>
            <w:hideMark/>
          </w:tcPr>
          <w:p w14:paraId="42EAB751" w14:textId="77777777" w:rsidR="00E802FC" w:rsidRPr="00E802FC" w:rsidRDefault="00E802FC" w:rsidP="00E802FC">
            <w:pPr>
              <w:spacing w:after="0" w:line="240" w:lineRule="auto"/>
              <w:jc w:val="center"/>
              <w:rPr>
                <w:rFonts w:ascii="Calibri" w:eastAsia="Times New Roman" w:hAnsi="Calibri" w:cs="Calibri"/>
                <w:b/>
                <w:bCs/>
                <w:color w:val="FFFFFF"/>
                <w:szCs w:val="21"/>
                <w:lang w:eastAsia="cs-CZ"/>
              </w:rPr>
            </w:pPr>
            <w:r w:rsidRPr="00E802FC">
              <w:rPr>
                <w:rFonts w:ascii="Calibri" w:eastAsia="Times New Roman" w:hAnsi="Calibri" w:cs="Calibri"/>
                <w:b/>
                <w:bCs/>
                <w:color w:val="FFFFFF"/>
                <w:szCs w:val="21"/>
                <w:lang w:eastAsia="cs-CZ"/>
              </w:rPr>
              <w:t>2023</w:t>
            </w:r>
          </w:p>
        </w:tc>
        <w:tc>
          <w:tcPr>
            <w:tcW w:w="1000" w:type="dxa"/>
            <w:tcBorders>
              <w:top w:val="single" w:sz="8" w:space="0" w:color="4F81BD"/>
              <w:left w:val="nil"/>
              <w:bottom w:val="nil"/>
              <w:right w:val="single" w:sz="8" w:space="0" w:color="4F81BD"/>
            </w:tcBorders>
            <w:shd w:val="clear" w:color="000000" w:fill="6691C6"/>
            <w:hideMark/>
          </w:tcPr>
          <w:p w14:paraId="418773FE" w14:textId="77777777" w:rsidR="00E802FC" w:rsidRPr="00E802FC" w:rsidRDefault="00E802FC" w:rsidP="00E802FC">
            <w:pPr>
              <w:spacing w:after="0" w:line="240" w:lineRule="auto"/>
              <w:jc w:val="center"/>
              <w:rPr>
                <w:rFonts w:ascii="Calibri" w:eastAsia="Times New Roman" w:hAnsi="Calibri" w:cs="Calibri"/>
                <w:b/>
                <w:bCs/>
                <w:color w:val="FFFFFF"/>
                <w:szCs w:val="21"/>
                <w:lang w:eastAsia="cs-CZ"/>
              </w:rPr>
            </w:pPr>
            <w:r w:rsidRPr="00E802FC">
              <w:rPr>
                <w:rFonts w:ascii="Calibri" w:eastAsia="Times New Roman" w:hAnsi="Calibri" w:cs="Calibri"/>
                <w:b/>
                <w:bCs/>
                <w:color w:val="FFFFFF"/>
                <w:szCs w:val="21"/>
                <w:lang w:eastAsia="cs-CZ"/>
              </w:rPr>
              <w:t>2023</w:t>
            </w:r>
            <w:r w:rsidRPr="00E802FC">
              <w:rPr>
                <w:rFonts w:ascii="Calibri" w:eastAsia="Times New Roman" w:hAnsi="Calibri" w:cs="Calibri"/>
                <w:b/>
                <w:bCs/>
                <w:color w:val="FFFFFF"/>
                <w:szCs w:val="21"/>
                <w:lang w:eastAsia="cs-CZ"/>
              </w:rPr>
              <w:br/>
              <w:t>ZPP</w:t>
            </w:r>
          </w:p>
        </w:tc>
      </w:tr>
      <w:tr w:rsidR="00E802FC" w:rsidRPr="00E802FC" w14:paraId="1E4D5961" w14:textId="77777777" w:rsidTr="00E802FC">
        <w:trPr>
          <w:trHeight w:val="559"/>
        </w:trPr>
        <w:tc>
          <w:tcPr>
            <w:tcW w:w="2080" w:type="dxa"/>
            <w:tcBorders>
              <w:top w:val="nil"/>
              <w:left w:val="single" w:sz="8" w:space="0" w:color="4F81BD"/>
              <w:bottom w:val="nil"/>
              <w:right w:val="nil"/>
            </w:tcBorders>
            <w:shd w:val="clear" w:color="auto" w:fill="auto"/>
            <w:vAlign w:val="bottom"/>
            <w:hideMark/>
          </w:tcPr>
          <w:p w14:paraId="4E0A9A7F" w14:textId="77777777" w:rsidR="00E802FC" w:rsidRPr="00E802FC" w:rsidRDefault="00E802FC" w:rsidP="00E802FC">
            <w:pPr>
              <w:spacing w:after="0" w:line="240" w:lineRule="auto"/>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 xml:space="preserve">Náklady na </w:t>
            </w:r>
            <w:r w:rsidRPr="00E802FC">
              <w:rPr>
                <w:rFonts w:ascii="Calibri" w:eastAsia="Times New Roman" w:hAnsi="Calibri" w:cs="Calibri"/>
                <w:b/>
                <w:bCs/>
                <w:color w:val="000000"/>
                <w:szCs w:val="21"/>
                <w:lang w:eastAsia="cs-CZ"/>
              </w:rPr>
              <w:br/>
              <w:t>ambulantní péči</w:t>
            </w:r>
          </w:p>
        </w:tc>
        <w:tc>
          <w:tcPr>
            <w:tcW w:w="1000" w:type="dxa"/>
            <w:tcBorders>
              <w:top w:val="nil"/>
              <w:left w:val="nil"/>
              <w:bottom w:val="nil"/>
              <w:right w:val="nil"/>
            </w:tcBorders>
            <w:shd w:val="clear" w:color="000000" w:fill="DCE6F1"/>
            <w:noWrap/>
            <w:vAlign w:val="bottom"/>
            <w:hideMark/>
          </w:tcPr>
          <w:p w14:paraId="07D5D960"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7 145</w:t>
            </w:r>
          </w:p>
        </w:tc>
        <w:tc>
          <w:tcPr>
            <w:tcW w:w="1000" w:type="dxa"/>
            <w:tcBorders>
              <w:top w:val="nil"/>
              <w:left w:val="nil"/>
              <w:bottom w:val="nil"/>
              <w:right w:val="nil"/>
            </w:tcBorders>
            <w:shd w:val="clear" w:color="auto" w:fill="auto"/>
            <w:noWrap/>
            <w:vAlign w:val="bottom"/>
            <w:hideMark/>
          </w:tcPr>
          <w:p w14:paraId="3200E62F"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7 876</w:t>
            </w:r>
          </w:p>
        </w:tc>
        <w:tc>
          <w:tcPr>
            <w:tcW w:w="1000" w:type="dxa"/>
            <w:tcBorders>
              <w:top w:val="nil"/>
              <w:left w:val="nil"/>
              <w:bottom w:val="nil"/>
              <w:right w:val="nil"/>
            </w:tcBorders>
            <w:shd w:val="clear" w:color="000000" w:fill="DCE6F1"/>
            <w:noWrap/>
            <w:vAlign w:val="bottom"/>
            <w:hideMark/>
          </w:tcPr>
          <w:p w14:paraId="678B564A"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9 534</w:t>
            </w:r>
          </w:p>
        </w:tc>
        <w:tc>
          <w:tcPr>
            <w:tcW w:w="1000" w:type="dxa"/>
            <w:tcBorders>
              <w:top w:val="nil"/>
              <w:left w:val="nil"/>
              <w:bottom w:val="nil"/>
              <w:right w:val="nil"/>
            </w:tcBorders>
            <w:shd w:val="clear" w:color="auto" w:fill="auto"/>
            <w:noWrap/>
            <w:vAlign w:val="bottom"/>
            <w:hideMark/>
          </w:tcPr>
          <w:p w14:paraId="677A3E14"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10 375</w:t>
            </w:r>
          </w:p>
        </w:tc>
        <w:tc>
          <w:tcPr>
            <w:tcW w:w="1000" w:type="dxa"/>
            <w:tcBorders>
              <w:top w:val="nil"/>
              <w:left w:val="nil"/>
              <w:bottom w:val="nil"/>
              <w:right w:val="nil"/>
            </w:tcBorders>
            <w:shd w:val="clear" w:color="000000" w:fill="DCE6F1"/>
            <w:noWrap/>
            <w:vAlign w:val="bottom"/>
            <w:hideMark/>
          </w:tcPr>
          <w:p w14:paraId="57AC865E"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10 522</w:t>
            </w:r>
          </w:p>
        </w:tc>
        <w:tc>
          <w:tcPr>
            <w:tcW w:w="1000" w:type="dxa"/>
            <w:tcBorders>
              <w:top w:val="nil"/>
              <w:left w:val="nil"/>
              <w:bottom w:val="nil"/>
              <w:right w:val="nil"/>
            </w:tcBorders>
            <w:shd w:val="clear" w:color="auto" w:fill="auto"/>
            <w:noWrap/>
            <w:vAlign w:val="bottom"/>
            <w:hideMark/>
          </w:tcPr>
          <w:p w14:paraId="10AB9CB8"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11 502</w:t>
            </w:r>
          </w:p>
        </w:tc>
        <w:tc>
          <w:tcPr>
            <w:tcW w:w="1000" w:type="dxa"/>
            <w:tcBorders>
              <w:top w:val="nil"/>
              <w:left w:val="nil"/>
              <w:bottom w:val="nil"/>
              <w:right w:val="nil"/>
            </w:tcBorders>
            <w:shd w:val="clear" w:color="auto" w:fill="auto"/>
            <w:noWrap/>
            <w:vAlign w:val="bottom"/>
            <w:hideMark/>
          </w:tcPr>
          <w:p w14:paraId="22A7E6C8"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11 429</w:t>
            </w:r>
          </w:p>
        </w:tc>
      </w:tr>
      <w:tr w:rsidR="00E802FC" w:rsidRPr="00E802FC" w14:paraId="6855F985" w14:textId="77777777" w:rsidTr="00E802FC">
        <w:trPr>
          <w:trHeight w:val="559"/>
        </w:trPr>
        <w:tc>
          <w:tcPr>
            <w:tcW w:w="2080" w:type="dxa"/>
            <w:tcBorders>
              <w:top w:val="nil"/>
              <w:left w:val="single" w:sz="8" w:space="0" w:color="4F81BD"/>
              <w:bottom w:val="nil"/>
              <w:right w:val="nil"/>
            </w:tcBorders>
            <w:shd w:val="clear" w:color="000000" w:fill="EEF3F8"/>
            <w:vAlign w:val="bottom"/>
            <w:hideMark/>
          </w:tcPr>
          <w:p w14:paraId="186AA619" w14:textId="77777777" w:rsidR="00E802FC" w:rsidRPr="00E802FC" w:rsidRDefault="00E802FC" w:rsidP="00E802FC">
            <w:pPr>
              <w:spacing w:after="0" w:line="240" w:lineRule="auto"/>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 xml:space="preserve">Náklady na </w:t>
            </w:r>
            <w:r w:rsidRPr="00E802FC">
              <w:rPr>
                <w:rFonts w:ascii="Calibri" w:eastAsia="Times New Roman" w:hAnsi="Calibri" w:cs="Calibri"/>
                <w:b/>
                <w:bCs/>
                <w:color w:val="000000"/>
                <w:szCs w:val="21"/>
                <w:lang w:eastAsia="cs-CZ"/>
              </w:rPr>
              <w:br/>
              <w:t>lůžkovou péči</w:t>
            </w:r>
          </w:p>
        </w:tc>
        <w:tc>
          <w:tcPr>
            <w:tcW w:w="1000" w:type="dxa"/>
            <w:tcBorders>
              <w:top w:val="nil"/>
              <w:left w:val="nil"/>
              <w:bottom w:val="nil"/>
              <w:right w:val="nil"/>
            </w:tcBorders>
            <w:shd w:val="clear" w:color="000000" w:fill="EEF3F8"/>
            <w:noWrap/>
            <w:vAlign w:val="bottom"/>
            <w:hideMark/>
          </w:tcPr>
          <w:p w14:paraId="4E72C7FA"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14 783</w:t>
            </w:r>
          </w:p>
        </w:tc>
        <w:tc>
          <w:tcPr>
            <w:tcW w:w="1000" w:type="dxa"/>
            <w:tcBorders>
              <w:top w:val="nil"/>
              <w:left w:val="nil"/>
              <w:bottom w:val="nil"/>
              <w:right w:val="nil"/>
            </w:tcBorders>
            <w:shd w:val="clear" w:color="000000" w:fill="EEF3F8"/>
            <w:noWrap/>
            <w:vAlign w:val="bottom"/>
            <w:hideMark/>
          </w:tcPr>
          <w:p w14:paraId="246E92D2"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16 148</w:t>
            </w:r>
          </w:p>
        </w:tc>
        <w:tc>
          <w:tcPr>
            <w:tcW w:w="1000" w:type="dxa"/>
            <w:tcBorders>
              <w:top w:val="nil"/>
              <w:left w:val="nil"/>
              <w:bottom w:val="nil"/>
              <w:right w:val="nil"/>
            </w:tcBorders>
            <w:shd w:val="clear" w:color="000000" w:fill="EEF3F8"/>
            <w:noWrap/>
            <w:vAlign w:val="bottom"/>
            <w:hideMark/>
          </w:tcPr>
          <w:p w14:paraId="41034354"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18 741</w:t>
            </w:r>
          </w:p>
        </w:tc>
        <w:tc>
          <w:tcPr>
            <w:tcW w:w="1000" w:type="dxa"/>
            <w:tcBorders>
              <w:top w:val="nil"/>
              <w:left w:val="nil"/>
              <w:bottom w:val="nil"/>
              <w:right w:val="nil"/>
            </w:tcBorders>
            <w:shd w:val="clear" w:color="000000" w:fill="EEF3F8"/>
            <w:noWrap/>
            <w:vAlign w:val="bottom"/>
            <w:hideMark/>
          </w:tcPr>
          <w:p w14:paraId="353ABA78"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21 727</w:t>
            </w:r>
          </w:p>
        </w:tc>
        <w:tc>
          <w:tcPr>
            <w:tcW w:w="1000" w:type="dxa"/>
            <w:tcBorders>
              <w:top w:val="nil"/>
              <w:left w:val="nil"/>
              <w:bottom w:val="nil"/>
              <w:right w:val="nil"/>
            </w:tcBorders>
            <w:shd w:val="clear" w:color="000000" w:fill="EEF3F8"/>
            <w:noWrap/>
            <w:vAlign w:val="bottom"/>
            <w:hideMark/>
          </w:tcPr>
          <w:p w14:paraId="291055FA"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21 843</w:t>
            </w:r>
          </w:p>
        </w:tc>
        <w:tc>
          <w:tcPr>
            <w:tcW w:w="1000" w:type="dxa"/>
            <w:tcBorders>
              <w:top w:val="nil"/>
              <w:left w:val="nil"/>
              <w:bottom w:val="nil"/>
              <w:right w:val="nil"/>
            </w:tcBorders>
            <w:shd w:val="clear" w:color="000000" w:fill="EEF3F8"/>
            <w:noWrap/>
            <w:vAlign w:val="bottom"/>
            <w:hideMark/>
          </w:tcPr>
          <w:p w14:paraId="72BF1D20"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23 828</w:t>
            </w:r>
          </w:p>
        </w:tc>
        <w:tc>
          <w:tcPr>
            <w:tcW w:w="1000" w:type="dxa"/>
            <w:tcBorders>
              <w:top w:val="nil"/>
              <w:left w:val="nil"/>
              <w:bottom w:val="nil"/>
              <w:right w:val="nil"/>
            </w:tcBorders>
            <w:shd w:val="clear" w:color="000000" w:fill="EEF3F8"/>
            <w:noWrap/>
            <w:vAlign w:val="bottom"/>
            <w:hideMark/>
          </w:tcPr>
          <w:p w14:paraId="28CD5581"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24 135</w:t>
            </w:r>
          </w:p>
        </w:tc>
      </w:tr>
      <w:tr w:rsidR="00E802FC" w:rsidRPr="00E802FC" w14:paraId="51A71340" w14:textId="77777777" w:rsidTr="00E802FC">
        <w:trPr>
          <w:trHeight w:val="300"/>
        </w:trPr>
        <w:tc>
          <w:tcPr>
            <w:tcW w:w="2080" w:type="dxa"/>
            <w:tcBorders>
              <w:top w:val="nil"/>
              <w:left w:val="single" w:sz="8" w:space="0" w:color="4F81BD"/>
              <w:bottom w:val="nil"/>
              <w:right w:val="nil"/>
            </w:tcBorders>
            <w:shd w:val="clear" w:color="auto" w:fill="auto"/>
            <w:vAlign w:val="bottom"/>
            <w:hideMark/>
          </w:tcPr>
          <w:p w14:paraId="45526458" w14:textId="77777777" w:rsidR="00E802FC" w:rsidRPr="00E802FC" w:rsidRDefault="00E802FC" w:rsidP="00E802FC">
            <w:pPr>
              <w:spacing w:after="0" w:line="240" w:lineRule="auto"/>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Ostatní náklady</w:t>
            </w:r>
          </w:p>
        </w:tc>
        <w:tc>
          <w:tcPr>
            <w:tcW w:w="1000" w:type="dxa"/>
            <w:tcBorders>
              <w:top w:val="nil"/>
              <w:left w:val="nil"/>
              <w:bottom w:val="nil"/>
              <w:right w:val="nil"/>
            </w:tcBorders>
            <w:shd w:val="clear" w:color="000000" w:fill="DCE6F1"/>
            <w:noWrap/>
            <w:vAlign w:val="bottom"/>
            <w:hideMark/>
          </w:tcPr>
          <w:p w14:paraId="04E05592"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5 219</w:t>
            </w:r>
          </w:p>
        </w:tc>
        <w:tc>
          <w:tcPr>
            <w:tcW w:w="1000" w:type="dxa"/>
            <w:tcBorders>
              <w:top w:val="nil"/>
              <w:left w:val="nil"/>
              <w:bottom w:val="nil"/>
              <w:right w:val="nil"/>
            </w:tcBorders>
            <w:shd w:val="clear" w:color="auto" w:fill="auto"/>
            <w:noWrap/>
            <w:vAlign w:val="bottom"/>
            <w:hideMark/>
          </w:tcPr>
          <w:p w14:paraId="2D3F6E19"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5 475</w:t>
            </w:r>
          </w:p>
        </w:tc>
        <w:tc>
          <w:tcPr>
            <w:tcW w:w="1000" w:type="dxa"/>
            <w:tcBorders>
              <w:top w:val="nil"/>
              <w:left w:val="nil"/>
              <w:bottom w:val="nil"/>
              <w:right w:val="nil"/>
            </w:tcBorders>
            <w:shd w:val="clear" w:color="000000" w:fill="DCE6F1"/>
            <w:noWrap/>
            <w:vAlign w:val="bottom"/>
            <w:hideMark/>
          </w:tcPr>
          <w:p w14:paraId="756F876D"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5 749</w:t>
            </w:r>
          </w:p>
        </w:tc>
        <w:tc>
          <w:tcPr>
            <w:tcW w:w="1000" w:type="dxa"/>
            <w:tcBorders>
              <w:top w:val="nil"/>
              <w:left w:val="nil"/>
              <w:bottom w:val="nil"/>
              <w:right w:val="nil"/>
            </w:tcBorders>
            <w:shd w:val="clear" w:color="auto" w:fill="auto"/>
            <w:noWrap/>
            <w:vAlign w:val="bottom"/>
            <w:hideMark/>
          </w:tcPr>
          <w:p w14:paraId="52AB5257"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6 238</w:t>
            </w:r>
          </w:p>
        </w:tc>
        <w:tc>
          <w:tcPr>
            <w:tcW w:w="1000" w:type="dxa"/>
            <w:tcBorders>
              <w:top w:val="nil"/>
              <w:left w:val="nil"/>
              <w:bottom w:val="nil"/>
              <w:right w:val="nil"/>
            </w:tcBorders>
            <w:shd w:val="clear" w:color="000000" w:fill="DCE6F1"/>
            <w:noWrap/>
            <w:vAlign w:val="bottom"/>
            <w:hideMark/>
          </w:tcPr>
          <w:p w14:paraId="1182A342"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6 162</w:t>
            </w:r>
          </w:p>
        </w:tc>
        <w:tc>
          <w:tcPr>
            <w:tcW w:w="1000" w:type="dxa"/>
            <w:tcBorders>
              <w:top w:val="nil"/>
              <w:left w:val="nil"/>
              <w:bottom w:val="nil"/>
              <w:right w:val="nil"/>
            </w:tcBorders>
            <w:shd w:val="clear" w:color="auto" w:fill="auto"/>
            <w:noWrap/>
            <w:vAlign w:val="bottom"/>
            <w:hideMark/>
          </w:tcPr>
          <w:p w14:paraId="5BBDD1AC"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6 681</w:t>
            </w:r>
          </w:p>
        </w:tc>
        <w:tc>
          <w:tcPr>
            <w:tcW w:w="1000" w:type="dxa"/>
            <w:tcBorders>
              <w:top w:val="nil"/>
              <w:left w:val="nil"/>
              <w:bottom w:val="nil"/>
              <w:right w:val="nil"/>
            </w:tcBorders>
            <w:shd w:val="clear" w:color="auto" w:fill="auto"/>
            <w:noWrap/>
            <w:vAlign w:val="bottom"/>
            <w:hideMark/>
          </w:tcPr>
          <w:p w14:paraId="1C21A441" w14:textId="77777777" w:rsidR="00E802FC" w:rsidRPr="00E802FC" w:rsidRDefault="00E802FC" w:rsidP="00E802FC">
            <w:pPr>
              <w:spacing w:after="0" w:line="240" w:lineRule="auto"/>
              <w:jc w:val="right"/>
              <w:rPr>
                <w:rFonts w:ascii="Calibri" w:eastAsia="Times New Roman" w:hAnsi="Calibri" w:cs="Calibri"/>
                <w:color w:val="000000"/>
                <w:szCs w:val="21"/>
                <w:lang w:eastAsia="cs-CZ"/>
              </w:rPr>
            </w:pPr>
            <w:r w:rsidRPr="00E802FC">
              <w:rPr>
                <w:rFonts w:ascii="Calibri" w:eastAsia="Times New Roman" w:hAnsi="Calibri" w:cs="Calibri"/>
                <w:color w:val="000000"/>
                <w:szCs w:val="21"/>
                <w:lang w:eastAsia="cs-CZ"/>
              </w:rPr>
              <w:t>6 880</w:t>
            </w:r>
          </w:p>
        </w:tc>
      </w:tr>
      <w:tr w:rsidR="00E802FC" w:rsidRPr="00E802FC" w14:paraId="59346EC2" w14:textId="77777777" w:rsidTr="00E802FC">
        <w:trPr>
          <w:trHeight w:val="300"/>
        </w:trPr>
        <w:tc>
          <w:tcPr>
            <w:tcW w:w="2080" w:type="dxa"/>
            <w:tcBorders>
              <w:top w:val="nil"/>
              <w:left w:val="single" w:sz="8" w:space="0" w:color="4F81BD"/>
              <w:bottom w:val="single" w:sz="8" w:space="0" w:color="4F81BD"/>
              <w:right w:val="nil"/>
            </w:tcBorders>
            <w:shd w:val="clear" w:color="000000" w:fill="EEF3F8"/>
            <w:vAlign w:val="bottom"/>
            <w:hideMark/>
          </w:tcPr>
          <w:p w14:paraId="119A5C96" w14:textId="77777777" w:rsidR="00E802FC" w:rsidRPr="00E802FC" w:rsidRDefault="00E802FC" w:rsidP="00E802FC">
            <w:pPr>
              <w:spacing w:after="0" w:line="240" w:lineRule="auto"/>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Celkové náklady</w:t>
            </w:r>
          </w:p>
        </w:tc>
        <w:tc>
          <w:tcPr>
            <w:tcW w:w="1000" w:type="dxa"/>
            <w:tcBorders>
              <w:top w:val="nil"/>
              <w:left w:val="nil"/>
              <w:bottom w:val="single" w:sz="8" w:space="0" w:color="4F81BD"/>
              <w:right w:val="nil"/>
            </w:tcBorders>
            <w:shd w:val="clear" w:color="000000" w:fill="EEF3F8"/>
            <w:noWrap/>
            <w:vAlign w:val="bottom"/>
            <w:hideMark/>
          </w:tcPr>
          <w:p w14:paraId="69DEB444" w14:textId="77777777" w:rsidR="00E802FC" w:rsidRPr="00E802FC" w:rsidRDefault="00E802FC" w:rsidP="00E802FC">
            <w:pPr>
              <w:spacing w:after="0" w:line="240" w:lineRule="auto"/>
              <w:jc w:val="right"/>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27 147</w:t>
            </w:r>
          </w:p>
        </w:tc>
        <w:tc>
          <w:tcPr>
            <w:tcW w:w="1000" w:type="dxa"/>
            <w:tcBorders>
              <w:top w:val="nil"/>
              <w:left w:val="nil"/>
              <w:bottom w:val="single" w:sz="8" w:space="0" w:color="4F81BD"/>
              <w:right w:val="nil"/>
            </w:tcBorders>
            <w:shd w:val="clear" w:color="000000" w:fill="EEF3F8"/>
            <w:noWrap/>
            <w:vAlign w:val="bottom"/>
            <w:hideMark/>
          </w:tcPr>
          <w:p w14:paraId="1FB68360" w14:textId="77777777" w:rsidR="00E802FC" w:rsidRPr="00E802FC" w:rsidRDefault="00E802FC" w:rsidP="00E802FC">
            <w:pPr>
              <w:spacing w:after="0" w:line="240" w:lineRule="auto"/>
              <w:jc w:val="right"/>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29 499</w:t>
            </w:r>
          </w:p>
        </w:tc>
        <w:tc>
          <w:tcPr>
            <w:tcW w:w="1000" w:type="dxa"/>
            <w:tcBorders>
              <w:top w:val="nil"/>
              <w:left w:val="nil"/>
              <w:bottom w:val="single" w:sz="8" w:space="0" w:color="4F81BD"/>
              <w:right w:val="nil"/>
            </w:tcBorders>
            <w:shd w:val="clear" w:color="000000" w:fill="EEF3F8"/>
            <w:noWrap/>
            <w:vAlign w:val="bottom"/>
            <w:hideMark/>
          </w:tcPr>
          <w:p w14:paraId="37DAB837" w14:textId="77777777" w:rsidR="00E802FC" w:rsidRPr="00E802FC" w:rsidRDefault="00E802FC" w:rsidP="00E802FC">
            <w:pPr>
              <w:spacing w:after="0" w:line="240" w:lineRule="auto"/>
              <w:jc w:val="right"/>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34 024</w:t>
            </w:r>
          </w:p>
        </w:tc>
        <w:tc>
          <w:tcPr>
            <w:tcW w:w="1000" w:type="dxa"/>
            <w:tcBorders>
              <w:top w:val="nil"/>
              <w:left w:val="nil"/>
              <w:bottom w:val="single" w:sz="8" w:space="0" w:color="4F81BD"/>
              <w:right w:val="nil"/>
            </w:tcBorders>
            <w:shd w:val="clear" w:color="000000" w:fill="EEF3F8"/>
            <w:noWrap/>
            <w:vAlign w:val="bottom"/>
            <w:hideMark/>
          </w:tcPr>
          <w:p w14:paraId="5CD9F49D" w14:textId="77777777" w:rsidR="00E802FC" w:rsidRPr="00E802FC" w:rsidRDefault="00E802FC" w:rsidP="00E802FC">
            <w:pPr>
              <w:spacing w:after="0" w:line="240" w:lineRule="auto"/>
              <w:jc w:val="right"/>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38 340</w:t>
            </w:r>
          </w:p>
        </w:tc>
        <w:tc>
          <w:tcPr>
            <w:tcW w:w="1000" w:type="dxa"/>
            <w:tcBorders>
              <w:top w:val="nil"/>
              <w:left w:val="nil"/>
              <w:bottom w:val="single" w:sz="8" w:space="0" w:color="4F81BD"/>
              <w:right w:val="nil"/>
            </w:tcBorders>
            <w:shd w:val="clear" w:color="000000" w:fill="EEF3F8"/>
            <w:noWrap/>
            <w:vAlign w:val="bottom"/>
            <w:hideMark/>
          </w:tcPr>
          <w:p w14:paraId="308A14AF" w14:textId="77777777" w:rsidR="00E802FC" w:rsidRPr="00E802FC" w:rsidRDefault="00E802FC" w:rsidP="00E802FC">
            <w:pPr>
              <w:spacing w:after="0" w:line="240" w:lineRule="auto"/>
              <w:jc w:val="right"/>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38 527</w:t>
            </w:r>
          </w:p>
        </w:tc>
        <w:tc>
          <w:tcPr>
            <w:tcW w:w="1000" w:type="dxa"/>
            <w:tcBorders>
              <w:top w:val="nil"/>
              <w:left w:val="nil"/>
              <w:bottom w:val="single" w:sz="8" w:space="0" w:color="4F81BD"/>
              <w:right w:val="nil"/>
            </w:tcBorders>
            <w:shd w:val="clear" w:color="000000" w:fill="EEF3F8"/>
            <w:noWrap/>
            <w:vAlign w:val="bottom"/>
            <w:hideMark/>
          </w:tcPr>
          <w:p w14:paraId="3C485BC2" w14:textId="77777777" w:rsidR="00E802FC" w:rsidRPr="00E802FC" w:rsidRDefault="00E802FC" w:rsidP="00E802FC">
            <w:pPr>
              <w:spacing w:after="0" w:line="240" w:lineRule="auto"/>
              <w:jc w:val="right"/>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42 011</w:t>
            </w:r>
          </w:p>
        </w:tc>
        <w:tc>
          <w:tcPr>
            <w:tcW w:w="1000" w:type="dxa"/>
            <w:tcBorders>
              <w:top w:val="nil"/>
              <w:left w:val="nil"/>
              <w:bottom w:val="single" w:sz="8" w:space="0" w:color="4F81BD"/>
              <w:right w:val="nil"/>
            </w:tcBorders>
            <w:shd w:val="clear" w:color="000000" w:fill="EEF3F8"/>
            <w:noWrap/>
            <w:vAlign w:val="bottom"/>
            <w:hideMark/>
          </w:tcPr>
          <w:p w14:paraId="3EF507AE" w14:textId="77777777" w:rsidR="00E802FC" w:rsidRPr="00E802FC" w:rsidRDefault="00E802FC" w:rsidP="00E802FC">
            <w:pPr>
              <w:spacing w:after="0" w:line="240" w:lineRule="auto"/>
              <w:jc w:val="right"/>
              <w:rPr>
                <w:rFonts w:ascii="Calibri" w:eastAsia="Times New Roman" w:hAnsi="Calibri" w:cs="Calibri"/>
                <w:b/>
                <w:bCs/>
                <w:color w:val="000000"/>
                <w:szCs w:val="21"/>
                <w:lang w:eastAsia="cs-CZ"/>
              </w:rPr>
            </w:pPr>
            <w:r w:rsidRPr="00E802FC">
              <w:rPr>
                <w:rFonts w:ascii="Calibri" w:eastAsia="Times New Roman" w:hAnsi="Calibri" w:cs="Calibri"/>
                <w:b/>
                <w:bCs/>
                <w:color w:val="000000"/>
                <w:szCs w:val="21"/>
                <w:lang w:eastAsia="cs-CZ"/>
              </w:rPr>
              <w:t>42 444</w:t>
            </w:r>
          </w:p>
        </w:tc>
      </w:tr>
    </w:tbl>
    <w:p w14:paraId="52B390D7" w14:textId="77777777" w:rsidR="00E802FC" w:rsidRPr="008C1EAB" w:rsidRDefault="00E802FC" w:rsidP="004F12DF">
      <w:pPr>
        <w:rPr>
          <w:highlight w:val="yellow"/>
          <w:lang w:bidi="hi-IN"/>
        </w:rPr>
      </w:pPr>
    </w:p>
    <w:p w14:paraId="42126C45" w14:textId="3DFC75BD" w:rsidR="007036D6" w:rsidRPr="008C1EAB" w:rsidRDefault="000E7F13" w:rsidP="007140DB">
      <w:pPr>
        <w:pStyle w:val="Titulek"/>
        <w:spacing w:before="120" w:after="0"/>
        <w:rPr>
          <w:highlight w:val="yellow"/>
        </w:rPr>
      </w:pPr>
      <w:bookmarkStart w:id="54" w:name="_Toc41837532"/>
      <w:bookmarkStart w:id="55" w:name="_Toc106884109"/>
      <w:r w:rsidRPr="00E802FC">
        <w:t xml:space="preserve">Graf č. </w:t>
      </w:r>
      <w:r w:rsidR="007B6A7D">
        <w:rPr>
          <w:noProof/>
        </w:rPr>
        <w:t>13</w:t>
      </w:r>
      <w:r w:rsidRPr="00E802FC">
        <w:t xml:space="preserve">: Celkové náklady na zdravotní služby </w:t>
      </w:r>
      <w:r w:rsidR="00853129" w:rsidRPr="00E802FC">
        <w:t xml:space="preserve">ze ZFZP </w:t>
      </w:r>
      <w:r w:rsidRPr="00E802FC">
        <w:t>v přepočtu na pojištěnce</w:t>
      </w:r>
      <w:bookmarkEnd w:id="54"/>
      <w:bookmarkEnd w:id="55"/>
      <w:r w:rsidRPr="00E802FC">
        <w:t xml:space="preserve"> </w:t>
      </w:r>
    </w:p>
    <w:p w14:paraId="763A12AF" w14:textId="7B4411B3" w:rsidR="00E802FC" w:rsidRPr="008C1EAB" w:rsidRDefault="00E802FC" w:rsidP="00737DB7">
      <w:pPr>
        <w:rPr>
          <w:highlight w:val="yellow"/>
          <w:lang w:bidi="hi-IN"/>
        </w:rPr>
      </w:pPr>
      <w:r>
        <w:rPr>
          <w:noProof/>
          <w:lang w:eastAsia="cs-CZ"/>
        </w:rPr>
        <w:drawing>
          <wp:inline distT="0" distB="0" distL="0" distR="0" wp14:anchorId="7D67E8D9" wp14:editId="05DB0234">
            <wp:extent cx="5924550" cy="2827020"/>
            <wp:effectExtent l="0" t="0" r="0" b="0"/>
            <wp:docPr id="15" name="Graf 15">
              <a:extLst xmlns:a="http://schemas.openxmlformats.org/drawingml/2006/main">
                <a:ext uri="{FF2B5EF4-FFF2-40B4-BE49-F238E27FC236}">
                  <a16:creationId xmlns:a16="http://schemas.microsoft.com/office/drawing/2014/main" id="{00000000-0008-0000-01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2B808E6" w14:textId="2C7AD7CD" w:rsidR="000E7F13" w:rsidRPr="00E802FC" w:rsidRDefault="000E7F13" w:rsidP="000E7F13">
      <w:pPr>
        <w:pStyle w:val="Titulek"/>
      </w:pPr>
      <w:bookmarkStart w:id="56" w:name="_Toc41837533"/>
      <w:bookmarkStart w:id="57" w:name="_Toc106884110"/>
      <w:r w:rsidRPr="00E802FC">
        <w:t xml:space="preserve">Graf č. </w:t>
      </w:r>
      <w:r w:rsidR="007B6A7D">
        <w:t>14</w:t>
      </w:r>
      <w:r w:rsidRPr="00E802FC">
        <w:t xml:space="preserve">: Náklady na zdravotní služby </w:t>
      </w:r>
      <w:r w:rsidR="00853129" w:rsidRPr="00E802FC">
        <w:t xml:space="preserve">ze ZFZP </w:t>
      </w:r>
      <w:r w:rsidRPr="00E802FC">
        <w:t>podle segmentů v přepočtu na pojištěnce</w:t>
      </w:r>
      <w:bookmarkEnd w:id="56"/>
      <w:bookmarkEnd w:id="57"/>
      <w:r w:rsidRPr="00E802FC">
        <w:t xml:space="preserve"> </w:t>
      </w:r>
    </w:p>
    <w:p w14:paraId="0F854E00" w14:textId="50B0C883" w:rsidR="00E802FC" w:rsidRPr="008C1EAB" w:rsidRDefault="00E802FC" w:rsidP="004145DD">
      <w:pPr>
        <w:rPr>
          <w:highlight w:val="yellow"/>
          <w:lang w:bidi="hi-IN"/>
        </w:rPr>
      </w:pPr>
      <w:r>
        <w:rPr>
          <w:noProof/>
          <w:lang w:eastAsia="cs-CZ"/>
        </w:rPr>
        <w:drawing>
          <wp:inline distT="0" distB="0" distL="0" distR="0" wp14:anchorId="290935A3" wp14:editId="1ED2D1BE">
            <wp:extent cx="5924550" cy="2822575"/>
            <wp:effectExtent l="0" t="0" r="0" b="0"/>
            <wp:docPr id="1" name="Graf 1">
              <a:extLst xmlns:a="http://schemas.openxmlformats.org/drawingml/2006/main">
                <a:ext uri="{FF2B5EF4-FFF2-40B4-BE49-F238E27FC236}">
                  <a16:creationId xmlns:a16="http://schemas.microsoft.com/office/drawing/2014/main" id="{00000000-0008-0000-01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4BBC754" w14:textId="37C6CE41" w:rsidR="00D8337E" w:rsidRPr="008C1EAB" w:rsidRDefault="00D8337E">
      <w:pPr>
        <w:spacing w:after="200" w:line="276" w:lineRule="auto"/>
        <w:rPr>
          <w:rFonts w:ascii="Calibri" w:eastAsiaTheme="minorEastAsia" w:hAnsi="Calibri"/>
          <w:b/>
          <w:bCs/>
          <w:color w:val="1F497D" w:themeColor="text2"/>
          <w:spacing w:val="6"/>
          <w:szCs w:val="21"/>
          <w:highlight w:val="yellow"/>
          <w:lang w:bidi="hi-IN"/>
        </w:rPr>
      </w:pPr>
      <w:r w:rsidRPr="008C1EAB">
        <w:rPr>
          <w:highlight w:val="yellow"/>
        </w:rPr>
        <w:br w:type="page"/>
      </w:r>
    </w:p>
    <w:p w14:paraId="6C6A8A66" w14:textId="1AFA1F76" w:rsidR="007036D6" w:rsidRPr="009C74ED" w:rsidRDefault="000E7F13" w:rsidP="0021299E">
      <w:pPr>
        <w:pStyle w:val="Titulek"/>
        <w:jc w:val="both"/>
      </w:pPr>
      <w:bookmarkStart w:id="58" w:name="_Toc41837504"/>
      <w:bookmarkStart w:id="59" w:name="_Toc168993237"/>
      <w:r w:rsidRPr="009C74ED">
        <w:t xml:space="preserve">Tabulka č. </w:t>
      </w:r>
      <w:r w:rsidRPr="009C74ED">
        <w:rPr>
          <w:noProof/>
        </w:rPr>
        <w:fldChar w:fldCharType="begin"/>
      </w:r>
      <w:r w:rsidRPr="009C74ED">
        <w:rPr>
          <w:noProof/>
        </w:rPr>
        <w:instrText xml:space="preserve"> SEQ Tabulka \* ARABIC </w:instrText>
      </w:r>
      <w:r w:rsidRPr="009C74ED">
        <w:rPr>
          <w:noProof/>
        </w:rPr>
        <w:fldChar w:fldCharType="separate"/>
      </w:r>
      <w:r w:rsidR="00904274">
        <w:rPr>
          <w:noProof/>
        </w:rPr>
        <w:t>12</w:t>
      </w:r>
      <w:r w:rsidRPr="009C74ED">
        <w:rPr>
          <w:noProof/>
        </w:rPr>
        <w:fldChar w:fldCharType="end"/>
      </w:r>
      <w:r w:rsidRPr="009C74ED">
        <w:t xml:space="preserve">: Náklady na zdravotní služby </w:t>
      </w:r>
      <w:r w:rsidR="003D4982" w:rsidRPr="009C74ED">
        <w:t xml:space="preserve">ze ZFZP </w:t>
      </w:r>
      <w:r w:rsidRPr="009C74ED">
        <w:t>podle segmentů a zdravotních pojišťoven v roce 20</w:t>
      </w:r>
      <w:r w:rsidR="004F75FC" w:rsidRPr="009C74ED">
        <w:t>2</w:t>
      </w:r>
      <w:r w:rsidR="00F63B1D">
        <w:t>3</w:t>
      </w:r>
      <w:r w:rsidRPr="009C74ED">
        <w:t xml:space="preserve"> v přepočtu na pojištěnce</w:t>
      </w:r>
      <w:bookmarkEnd w:id="58"/>
      <w:bookmarkEnd w:id="59"/>
      <w:r w:rsidRPr="009C74ED">
        <w:t xml:space="preserve"> </w:t>
      </w:r>
    </w:p>
    <w:tbl>
      <w:tblPr>
        <w:tblW w:w="9080" w:type="dxa"/>
        <w:tblCellMar>
          <w:left w:w="70" w:type="dxa"/>
          <w:right w:w="70" w:type="dxa"/>
        </w:tblCellMar>
        <w:tblLook w:val="04A0" w:firstRow="1" w:lastRow="0" w:firstColumn="1" w:lastColumn="0" w:noHBand="0" w:noVBand="1"/>
      </w:tblPr>
      <w:tblGrid>
        <w:gridCol w:w="2080"/>
        <w:gridCol w:w="1000"/>
        <w:gridCol w:w="1000"/>
        <w:gridCol w:w="1000"/>
        <w:gridCol w:w="1000"/>
        <w:gridCol w:w="1000"/>
        <w:gridCol w:w="1000"/>
        <w:gridCol w:w="1000"/>
      </w:tblGrid>
      <w:tr w:rsidR="009C74ED" w:rsidRPr="009C74ED" w14:paraId="468DC42F" w14:textId="77777777" w:rsidTr="009C74ED">
        <w:trPr>
          <w:trHeight w:val="600"/>
        </w:trPr>
        <w:tc>
          <w:tcPr>
            <w:tcW w:w="2080" w:type="dxa"/>
            <w:tcBorders>
              <w:top w:val="single" w:sz="8" w:space="0" w:color="4F81BD"/>
              <w:left w:val="single" w:sz="8" w:space="0" w:color="4F81BD"/>
              <w:bottom w:val="nil"/>
              <w:right w:val="nil"/>
            </w:tcBorders>
            <w:shd w:val="clear" w:color="000000" w:fill="4F81BD"/>
            <w:hideMark/>
          </w:tcPr>
          <w:p w14:paraId="794F9F93" w14:textId="77777777" w:rsidR="009C74ED" w:rsidRPr="009C74ED" w:rsidRDefault="009C74ED" w:rsidP="009C74ED">
            <w:pPr>
              <w:spacing w:after="0" w:line="240" w:lineRule="auto"/>
              <w:rPr>
                <w:rFonts w:ascii="Calibri" w:eastAsia="Times New Roman" w:hAnsi="Calibri" w:cs="Calibri"/>
                <w:b/>
                <w:bCs/>
                <w:color w:val="FFFFFF"/>
                <w:szCs w:val="21"/>
                <w:lang w:eastAsia="cs-CZ"/>
              </w:rPr>
            </w:pPr>
            <w:r w:rsidRPr="009C74ED">
              <w:rPr>
                <w:rFonts w:ascii="Calibri" w:eastAsia="Times New Roman" w:hAnsi="Calibri" w:cs="Calibri"/>
                <w:b/>
                <w:bCs/>
                <w:color w:val="FFFFFF"/>
                <w:szCs w:val="21"/>
                <w:lang w:eastAsia="cs-CZ"/>
              </w:rPr>
              <w:t>Ukazatel</w:t>
            </w:r>
            <w:r w:rsidRPr="009C74ED">
              <w:rPr>
                <w:rFonts w:ascii="Calibri" w:eastAsia="Times New Roman" w:hAnsi="Calibri" w:cs="Calibri"/>
                <w:b/>
                <w:bCs/>
                <w:color w:val="FFFFFF"/>
                <w:szCs w:val="21"/>
                <w:lang w:eastAsia="cs-CZ"/>
              </w:rPr>
              <w:br/>
            </w:r>
            <w:r w:rsidRPr="009C74ED">
              <w:rPr>
                <w:rFonts w:ascii="Calibri" w:eastAsia="Times New Roman" w:hAnsi="Calibri" w:cs="Calibri"/>
                <w:color w:val="FFFFFF"/>
                <w:szCs w:val="21"/>
                <w:lang w:eastAsia="cs-CZ"/>
              </w:rPr>
              <w:t>(v Kč)</w:t>
            </w:r>
          </w:p>
        </w:tc>
        <w:tc>
          <w:tcPr>
            <w:tcW w:w="1000" w:type="dxa"/>
            <w:tcBorders>
              <w:top w:val="single" w:sz="8" w:space="0" w:color="4F81BD"/>
              <w:left w:val="nil"/>
              <w:bottom w:val="nil"/>
              <w:right w:val="nil"/>
            </w:tcBorders>
            <w:shd w:val="clear" w:color="000000" w:fill="6691C6"/>
            <w:noWrap/>
            <w:vAlign w:val="center"/>
            <w:hideMark/>
          </w:tcPr>
          <w:p w14:paraId="7EA9CE7F" w14:textId="77777777" w:rsidR="009C74ED" w:rsidRPr="009C74ED" w:rsidRDefault="009C74ED" w:rsidP="009C74ED">
            <w:pPr>
              <w:spacing w:after="0" w:line="240" w:lineRule="auto"/>
              <w:jc w:val="center"/>
              <w:rPr>
                <w:rFonts w:ascii="Calibri" w:eastAsia="Times New Roman" w:hAnsi="Calibri" w:cs="Calibri"/>
                <w:b/>
                <w:bCs/>
                <w:color w:val="FFFFFF"/>
                <w:szCs w:val="21"/>
                <w:lang w:eastAsia="cs-CZ"/>
              </w:rPr>
            </w:pPr>
            <w:r w:rsidRPr="009C74ED">
              <w:rPr>
                <w:rFonts w:ascii="Calibri" w:eastAsia="Times New Roman" w:hAnsi="Calibri" w:cs="Calibri"/>
                <w:b/>
                <w:bCs/>
                <w:color w:val="FFFFFF"/>
                <w:szCs w:val="21"/>
                <w:lang w:eastAsia="cs-CZ"/>
              </w:rPr>
              <w:t>VZP ČR</w:t>
            </w:r>
          </w:p>
        </w:tc>
        <w:tc>
          <w:tcPr>
            <w:tcW w:w="1000" w:type="dxa"/>
            <w:tcBorders>
              <w:top w:val="single" w:sz="8" w:space="0" w:color="4F81BD"/>
              <w:left w:val="nil"/>
              <w:bottom w:val="nil"/>
              <w:right w:val="nil"/>
            </w:tcBorders>
            <w:shd w:val="clear" w:color="000000" w:fill="4F81BD"/>
            <w:noWrap/>
            <w:vAlign w:val="center"/>
            <w:hideMark/>
          </w:tcPr>
          <w:p w14:paraId="5363E754" w14:textId="77777777" w:rsidR="009C74ED" w:rsidRPr="009C74ED" w:rsidRDefault="009C74ED" w:rsidP="009C74ED">
            <w:pPr>
              <w:spacing w:after="0" w:line="240" w:lineRule="auto"/>
              <w:jc w:val="center"/>
              <w:rPr>
                <w:rFonts w:ascii="Calibri" w:eastAsia="Times New Roman" w:hAnsi="Calibri" w:cs="Calibri"/>
                <w:b/>
                <w:bCs/>
                <w:color w:val="FFFFFF"/>
                <w:szCs w:val="21"/>
                <w:lang w:eastAsia="cs-CZ"/>
              </w:rPr>
            </w:pPr>
            <w:r w:rsidRPr="009C74ED">
              <w:rPr>
                <w:rFonts w:ascii="Calibri" w:eastAsia="Times New Roman" w:hAnsi="Calibri" w:cs="Calibri"/>
                <w:b/>
                <w:bCs/>
                <w:color w:val="FFFFFF"/>
                <w:szCs w:val="21"/>
                <w:lang w:eastAsia="cs-CZ"/>
              </w:rPr>
              <w:t>VoZP ČR</w:t>
            </w:r>
          </w:p>
        </w:tc>
        <w:tc>
          <w:tcPr>
            <w:tcW w:w="1000" w:type="dxa"/>
            <w:tcBorders>
              <w:top w:val="single" w:sz="8" w:space="0" w:color="4F81BD"/>
              <w:left w:val="nil"/>
              <w:bottom w:val="nil"/>
              <w:right w:val="nil"/>
            </w:tcBorders>
            <w:shd w:val="clear" w:color="000000" w:fill="6691C6"/>
            <w:noWrap/>
            <w:vAlign w:val="center"/>
            <w:hideMark/>
          </w:tcPr>
          <w:p w14:paraId="3AAE71D5" w14:textId="77777777" w:rsidR="009C74ED" w:rsidRPr="009C74ED" w:rsidRDefault="009C74ED" w:rsidP="009C74ED">
            <w:pPr>
              <w:spacing w:after="0" w:line="240" w:lineRule="auto"/>
              <w:jc w:val="center"/>
              <w:rPr>
                <w:rFonts w:ascii="Calibri" w:eastAsia="Times New Roman" w:hAnsi="Calibri" w:cs="Calibri"/>
                <w:b/>
                <w:bCs/>
                <w:color w:val="FFFFFF"/>
                <w:szCs w:val="21"/>
                <w:lang w:eastAsia="cs-CZ"/>
              </w:rPr>
            </w:pPr>
            <w:r w:rsidRPr="009C74ED">
              <w:rPr>
                <w:rFonts w:ascii="Calibri" w:eastAsia="Times New Roman" w:hAnsi="Calibri" w:cs="Calibri"/>
                <w:b/>
                <w:bCs/>
                <w:color w:val="FFFFFF"/>
                <w:szCs w:val="21"/>
                <w:lang w:eastAsia="cs-CZ"/>
              </w:rPr>
              <w:t>ČPZP</w:t>
            </w:r>
          </w:p>
        </w:tc>
        <w:tc>
          <w:tcPr>
            <w:tcW w:w="1000" w:type="dxa"/>
            <w:tcBorders>
              <w:top w:val="single" w:sz="8" w:space="0" w:color="4F81BD"/>
              <w:left w:val="nil"/>
              <w:bottom w:val="nil"/>
              <w:right w:val="nil"/>
            </w:tcBorders>
            <w:shd w:val="clear" w:color="000000" w:fill="4F81BD"/>
            <w:noWrap/>
            <w:vAlign w:val="center"/>
            <w:hideMark/>
          </w:tcPr>
          <w:p w14:paraId="5151DCEF" w14:textId="77777777" w:rsidR="009C74ED" w:rsidRPr="009C74ED" w:rsidRDefault="009C74ED" w:rsidP="009C74ED">
            <w:pPr>
              <w:spacing w:after="0" w:line="240" w:lineRule="auto"/>
              <w:jc w:val="center"/>
              <w:rPr>
                <w:rFonts w:ascii="Calibri" w:eastAsia="Times New Roman" w:hAnsi="Calibri" w:cs="Calibri"/>
                <w:b/>
                <w:bCs/>
                <w:color w:val="FFFFFF"/>
                <w:szCs w:val="21"/>
                <w:lang w:eastAsia="cs-CZ"/>
              </w:rPr>
            </w:pPr>
            <w:r w:rsidRPr="009C74ED">
              <w:rPr>
                <w:rFonts w:ascii="Calibri" w:eastAsia="Times New Roman" w:hAnsi="Calibri" w:cs="Calibri"/>
                <w:b/>
                <w:bCs/>
                <w:color w:val="FFFFFF"/>
                <w:szCs w:val="21"/>
                <w:lang w:eastAsia="cs-CZ"/>
              </w:rPr>
              <w:t>OZP</w:t>
            </w:r>
          </w:p>
        </w:tc>
        <w:tc>
          <w:tcPr>
            <w:tcW w:w="1000" w:type="dxa"/>
            <w:tcBorders>
              <w:top w:val="single" w:sz="8" w:space="0" w:color="4F81BD"/>
              <w:left w:val="nil"/>
              <w:bottom w:val="nil"/>
              <w:right w:val="nil"/>
            </w:tcBorders>
            <w:shd w:val="clear" w:color="000000" w:fill="6691C6"/>
            <w:noWrap/>
            <w:vAlign w:val="center"/>
            <w:hideMark/>
          </w:tcPr>
          <w:p w14:paraId="4C958D86" w14:textId="77777777" w:rsidR="009C74ED" w:rsidRPr="009C74ED" w:rsidRDefault="009C74ED" w:rsidP="009C74ED">
            <w:pPr>
              <w:spacing w:after="0" w:line="240" w:lineRule="auto"/>
              <w:jc w:val="center"/>
              <w:rPr>
                <w:rFonts w:ascii="Calibri" w:eastAsia="Times New Roman" w:hAnsi="Calibri" w:cs="Calibri"/>
                <w:b/>
                <w:bCs/>
                <w:color w:val="FFFFFF"/>
                <w:szCs w:val="21"/>
                <w:lang w:eastAsia="cs-CZ"/>
              </w:rPr>
            </w:pPr>
            <w:r w:rsidRPr="009C74ED">
              <w:rPr>
                <w:rFonts w:ascii="Calibri" w:eastAsia="Times New Roman" w:hAnsi="Calibri" w:cs="Calibri"/>
                <w:b/>
                <w:bCs/>
                <w:color w:val="FFFFFF"/>
                <w:szCs w:val="21"/>
                <w:lang w:eastAsia="cs-CZ"/>
              </w:rPr>
              <w:t>ZPŠ</w:t>
            </w:r>
          </w:p>
        </w:tc>
        <w:tc>
          <w:tcPr>
            <w:tcW w:w="1000" w:type="dxa"/>
            <w:tcBorders>
              <w:top w:val="single" w:sz="8" w:space="0" w:color="4F81BD"/>
              <w:left w:val="nil"/>
              <w:bottom w:val="nil"/>
              <w:right w:val="nil"/>
            </w:tcBorders>
            <w:shd w:val="clear" w:color="000000" w:fill="4F81BD"/>
            <w:noWrap/>
            <w:vAlign w:val="center"/>
            <w:hideMark/>
          </w:tcPr>
          <w:p w14:paraId="20631936" w14:textId="77777777" w:rsidR="009C74ED" w:rsidRPr="009C74ED" w:rsidRDefault="009C74ED" w:rsidP="009C74ED">
            <w:pPr>
              <w:spacing w:after="0" w:line="240" w:lineRule="auto"/>
              <w:jc w:val="center"/>
              <w:rPr>
                <w:rFonts w:ascii="Calibri" w:eastAsia="Times New Roman" w:hAnsi="Calibri" w:cs="Calibri"/>
                <w:b/>
                <w:bCs/>
                <w:color w:val="FFFFFF"/>
                <w:szCs w:val="21"/>
                <w:lang w:eastAsia="cs-CZ"/>
              </w:rPr>
            </w:pPr>
            <w:r w:rsidRPr="009C74ED">
              <w:rPr>
                <w:rFonts w:ascii="Calibri" w:eastAsia="Times New Roman" w:hAnsi="Calibri" w:cs="Calibri"/>
                <w:b/>
                <w:bCs/>
                <w:color w:val="FFFFFF"/>
                <w:szCs w:val="21"/>
                <w:lang w:eastAsia="cs-CZ"/>
              </w:rPr>
              <w:t>ZP MV ČR</w:t>
            </w:r>
          </w:p>
        </w:tc>
        <w:tc>
          <w:tcPr>
            <w:tcW w:w="1000" w:type="dxa"/>
            <w:tcBorders>
              <w:top w:val="single" w:sz="8" w:space="0" w:color="4F81BD"/>
              <w:left w:val="nil"/>
              <w:bottom w:val="nil"/>
              <w:right w:val="single" w:sz="8" w:space="0" w:color="4F81BD"/>
            </w:tcBorders>
            <w:shd w:val="clear" w:color="000000" w:fill="6691C6"/>
            <w:noWrap/>
            <w:vAlign w:val="center"/>
            <w:hideMark/>
          </w:tcPr>
          <w:p w14:paraId="14CAE3B1" w14:textId="77777777" w:rsidR="009C74ED" w:rsidRPr="009C74ED" w:rsidRDefault="009C74ED" w:rsidP="009C74ED">
            <w:pPr>
              <w:spacing w:after="0" w:line="240" w:lineRule="auto"/>
              <w:jc w:val="center"/>
              <w:rPr>
                <w:rFonts w:ascii="Calibri" w:eastAsia="Times New Roman" w:hAnsi="Calibri" w:cs="Calibri"/>
                <w:b/>
                <w:bCs/>
                <w:color w:val="FFFFFF"/>
                <w:szCs w:val="21"/>
                <w:lang w:eastAsia="cs-CZ"/>
              </w:rPr>
            </w:pPr>
            <w:r w:rsidRPr="009C74ED">
              <w:rPr>
                <w:rFonts w:ascii="Calibri" w:eastAsia="Times New Roman" w:hAnsi="Calibri" w:cs="Calibri"/>
                <w:b/>
                <w:bCs/>
                <w:color w:val="FFFFFF"/>
                <w:szCs w:val="21"/>
                <w:lang w:eastAsia="cs-CZ"/>
              </w:rPr>
              <w:t>RBP</w:t>
            </w:r>
          </w:p>
        </w:tc>
      </w:tr>
      <w:tr w:rsidR="009C74ED" w:rsidRPr="009C74ED" w14:paraId="0670ACFB" w14:textId="77777777" w:rsidTr="009C74ED">
        <w:trPr>
          <w:trHeight w:val="559"/>
        </w:trPr>
        <w:tc>
          <w:tcPr>
            <w:tcW w:w="2080" w:type="dxa"/>
            <w:tcBorders>
              <w:top w:val="nil"/>
              <w:left w:val="single" w:sz="8" w:space="0" w:color="4F81BD"/>
              <w:bottom w:val="nil"/>
              <w:right w:val="nil"/>
            </w:tcBorders>
            <w:shd w:val="clear" w:color="auto" w:fill="auto"/>
            <w:vAlign w:val="bottom"/>
            <w:hideMark/>
          </w:tcPr>
          <w:p w14:paraId="47AC1278" w14:textId="77777777" w:rsidR="009C74ED" w:rsidRPr="009C74ED" w:rsidRDefault="009C74ED" w:rsidP="009C74ED">
            <w:pPr>
              <w:spacing w:after="0" w:line="240" w:lineRule="auto"/>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 xml:space="preserve">Náklady na </w:t>
            </w:r>
            <w:r w:rsidRPr="009C74ED">
              <w:rPr>
                <w:rFonts w:ascii="Calibri" w:eastAsia="Times New Roman" w:hAnsi="Calibri" w:cs="Calibri"/>
                <w:b/>
                <w:bCs/>
                <w:color w:val="000000"/>
                <w:szCs w:val="21"/>
                <w:lang w:eastAsia="cs-CZ"/>
              </w:rPr>
              <w:br/>
              <w:t>ambulantní péči</w:t>
            </w:r>
          </w:p>
        </w:tc>
        <w:tc>
          <w:tcPr>
            <w:tcW w:w="1000" w:type="dxa"/>
            <w:tcBorders>
              <w:top w:val="nil"/>
              <w:left w:val="nil"/>
              <w:bottom w:val="nil"/>
              <w:right w:val="nil"/>
            </w:tcBorders>
            <w:shd w:val="clear" w:color="000000" w:fill="DCE6F1"/>
            <w:noWrap/>
            <w:vAlign w:val="bottom"/>
            <w:hideMark/>
          </w:tcPr>
          <w:p w14:paraId="2F4D65CE"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11 193</w:t>
            </w:r>
          </w:p>
        </w:tc>
        <w:tc>
          <w:tcPr>
            <w:tcW w:w="1000" w:type="dxa"/>
            <w:tcBorders>
              <w:top w:val="nil"/>
              <w:left w:val="nil"/>
              <w:bottom w:val="nil"/>
              <w:right w:val="nil"/>
            </w:tcBorders>
            <w:shd w:val="clear" w:color="auto" w:fill="auto"/>
            <w:noWrap/>
            <w:vAlign w:val="bottom"/>
            <w:hideMark/>
          </w:tcPr>
          <w:p w14:paraId="47474C01"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11 797</w:t>
            </w:r>
          </w:p>
        </w:tc>
        <w:tc>
          <w:tcPr>
            <w:tcW w:w="1000" w:type="dxa"/>
            <w:tcBorders>
              <w:top w:val="nil"/>
              <w:left w:val="nil"/>
              <w:bottom w:val="nil"/>
              <w:right w:val="nil"/>
            </w:tcBorders>
            <w:shd w:val="clear" w:color="000000" w:fill="DCE6F1"/>
            <w:noWrap/>
            <w:vAlign w:val="bottom"/>
            <w:hideMark/>
          </w:tcPr>
          <w:p w14:paraId="153B96BC"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11 978</w:t>
            </w:r>
          </w:p>
        </w:tc>
        <w:tc>
          <w:tcPr>
            <w:tcW w:w="1000" w:type="dxa"/>
            <w:tcBorders>
              <w:top w:val="nil"/>
              <w:left w:val="nil"/>
              <w:bottom w:val="nil"/>
              <w:right w:val="nil"/>
            </w:tcBorders>
            <w:shd w:val="clear" w:color="auto" w:fill="auto"/>
            <w:noWrap/>
            <w:vAlign w:val="bottom"/>
            <w:hideMark/>
          </w:tcPr>
          <w:p w14:paraId="2A127201"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12 280</w:t>
            </w:r>
          </w:p>
        </w:tc>
        <w:tc>
          <w:tcPr>
            <w:tcW w:w="1000" w:type="dxa"/>
            <w:tcBorders>
              <w:top w:val="nil"/>
              <w:left w:val="nil"/>
              <w:bottom w:val="nil"/>
              <w:right w:val="nil"/>
            </w:tcBorders>
            <w:shd w:val="clear" w:color="000000" w:fill="DCE6F1"/>
            <w:noWrap/>
            <w:vAlign w:val="bottom"/>
            <w:hideMark/>
          </w:tcPr>
          <w:p w14:paraId="20AC63B0"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10 151</w:t>
            </w:r>
          </w:p>
        </w:tc>
        <w:tc>
          <w:tcPr>
            <w:tcW w:w="1000" w:type="dxa"/>
            <w:tcBorders>
              <w:top w:val="nil"/>
              <w:left w:val="nil"/>
              <w:bottom w:val="nil"/>
              <w:right w:val="nil"/>
            </w:tcBorders>
            <w:shd w:val="clear" w:color="auto" w:fill="auto"/>
            <w:noWrap/>
            <w:vAlign w:val="bottom"/>
            <w:hideMark/>
          </w:tcPr>
          <w:p w14:paraId="107909D1"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11 799</w:t>
            </w:r>
          </w:p>
        </w:tc>
        <w:tc>
          <w:tcPr>
            <w:tcW w:w="1000" w:type="dxa"/>
            <w:tcBorders>
              <w:top w:val="nil"/>
              <w:left w:val="nil"/>
              <w:bottom w:val="nil"/>
              <w:right w:val="single" w:sz="8" w:space="0" w:color="4F81BD"/>
            </w:tcBorders>
            <w:shd w:val="clear" w:color="000000" w:fill="DCE6F1"/>
            <w:noWrap/>
            <w:vAlign w:val="bottom"/>
            <w:hideMark/>
          </w:tcPr>
          <w:p w14:paraId="0E7A5738"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12 139</w:t>
            </w:r>
          </w:p>
        </w:tc>
      </w:tr>
      <w:tr w:rsidR="009C74ED" w:rsidRPr="009C74ED" w14:paraId="5EE00822" w14:textId="77777777" w:rsidTr="009C74ED">
        <w:trPr>
          <w:trHeight w:val="559"/>
        </w:trPr>
        <w:tc>
          <w:tcPr>
            <w:tcW w:w="2080" w:type="dxa"/>
            <w:tcBorders>
              <w:top w:val="nil"/>
              <w:left w:val="single" w:sz="8" w:space="0" w:color="4F81BD"/>
              <w:bottom w:val="nil"/>
              <w:right w:val="nil"/>
            </w:tcBorders>
            <w:shd w:val="clear" w:color="000000" w:fill="EEF3F8"/>
            <w:vAlign w:val="bottom"/>
            <w:hideMark/>
          </w:tcPr>
          <w:p w14:paraId="2BA8BE0D" w14:textId="77777777" w:rsidR="009C74ED" w:rsidRPr="009C74ED" w:rsidRDefault="009C74ED" w:rsidP="009C74ED">
            <w:pPr>
              <w:spacing w:after="0" w:line="240" w:lineRule="auto"/>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 xml:space="preserve">Náklady na </w:t>
            </w:r>
            <w:r w:rsidRPr="009C74ED">
              <w:rPr>
                <w:rFonts w:ascii="Calibri" w:eastAsia="Times New Roman" w:hAnsi="Calibri" w:cs="Calibri"/>
                <w:b/>
                <w:bCs/>
                <w:color w:val="000000"/>
                <w:szCs w:val="21"/>
                <w:lang w:eastAsia="cs-CZ"/>
              </w:rPr>
              <w:br/>
              <w:t>lůžkovou péči</w:t>
            </w:r>
          </w:p>
        </w:tc>
        <w:tc>
          <w:tcPr>
            <w:tcW w:w="1000" w:type="dxa"/>
            <w:tcBorders>
              <w:top w:val="nil"/>
              <w:left w:val="nil"/>
              <w:bottom w:val="nil"/>
              <w:right w:val="nil"/>
            </w:tcBorders>
            <w:shd w:val="clear" w:color="000000" w:fill="EEF3F8"/>
            <w:noWrap/>
            <w:vAlign w:val="bottom"/>
            <w:hideMark/>
          </w:tcPr>
          <w:p w14:paraId="038FBA4A"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25 394</w:t>
            </w:r>
          </w:p>
        </w:tc>
        <w:tc>
          <w:tcPr>
            <w:tcW w:w="1000" w:type="dxa"/>
            <w:tcBorders>
              <w:top w:val="nil"/>
              <w:left w:val="nil"/>
              <w:bottom w:val="nil"/>
              <w:right w:val="nil"/>
            </w:tcBorders>
            <w:shd w:val="clear" w:color="000000" w:fill="EEF3F8"/>
            <w:noWrap/>
            <w:vAlign w:val="bottom"/>
            <w:hideMark/>
          </w:tcPr>
          <w:p w14:paraId="3BEA59E3"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23 463</w:t>
            </w:r>
          </w:p>
        </w:tc>
        <w:tc>
          <w:tcPr>
            <w:tcW w:w="1000" w:type="dxa"/>
            <w:tcBorders>
              <w:top w:val="nil"/>
              <w:left w:val="nil"/>
              <w:bottom w:val="nil"/>
              <w:right w:val="nil"/>
            </w:tcBorders>
            <w:shd w:val="clear" w:color="000000" w:fill="EEF3F8"/>
            <w:noWrap/>
            <w:vAlign w:val="bottom"/>
            <w:hideMark/>
          </w:tcPr>
          <w:p w14:paraId="28872B5D"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20 301</w:t>
            </w:r>
          </w:p>
        </w:tc>
        <w:tc>
          <w:tcPr>
            <w:tcW w:w="1000" w:type="dxa"/>
            <w:tcBorders>
              <w:top w:val="nil"/>
              <w:left w:val="nil"/>
              <w:bottom w:val="nil"/>
              <w:right w:val="nil"/>
            </w:tcBorders>
            <w:shd w:val="clear" w:color="000000" w:fill="EEF3F8"/>
            <w:noWrap/>
            <w:vAlign w:val="bottom"/>
            <w:hideMark/>
          </w:tcPr>
          <w:p w14:paraId="649756B7"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20 663</w:t>
            </w:r>
          </w:p>
        </w:tc>
        <w:tc>
          <w:tcPr>
            <w:tcW w:w="1000" w:type="dxa"/>
            <w:tcBorders>
              <w:top w:val="nil"/>
              <w:left w:val="nil"/>
              <w:bottom w:val="nil"/>
              <w:right w:val="nil"/>
            </w:tcBorders>
            <w:shd w:val="clear" w:color="000000" w:fill="EEF3F8"/>
            <w:noWrap/>
            <w:vAlign w:val="bottom"/>
            <w:hideMark/>
          </w:tcPr>
          <w:p w14:paraId="1CE692B5"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24 235</w:t>
            </w:r>
          </w:p>
        </w:tc>
        <w:tc>
          <w:tcPr>
            <w:tcW w:w="1000" w:type="dxa"/>
            <w:tcBorders>
              <w:top w:val="nil"/>
              <w:left w:val="nil"/>
              <w:bottom w:val="nil"/>
              <w:right w:val="nil"/>
            </w:tcBorders>
            <w:shd w:val="clear" w:color="000000" w:fill="EEF3F8"/>
            <w:noWrap/>
            <w:vAlign w:val="bottom"/>
            <w:hideMark/>
          </w:tcPr>
          <w:p w14:paraId="5496F6A1"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22 726</w:t>
            </w:r>
          </w:p>
        </w:tc>
        <w:tc>
          <w:tcPr>
            <w:tcW w:w="1000" w:type="dxa"/>
            <w:tcBorders>
              <w:top w:val="nil"/>
              <w:left w:val="nil"/>
              <w:bottom w:val="nil"/>
              <w:right w:val="single" w:sz="8" w:space="0" w:color="4F81BD"/>
            </w:tcBorders>
            <w:shd w:val="clear" w:color="000000" w:fill="EEF3F8"/>
            <w:noWrap/>
            <w:vAlign w:val="bottom"/>
            <w:hideMark/>
          </w:tcPr>
          <w:p w14:paraId="3E806644"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21 679</w:t>
            </w:r>
          </w:p>
        </w:tc>
      </w:tr>
      <w:tr w:rsidR="009C74ED" w:rsidRPr="009C74ED" w14:paraId="14B42F57" w14:textId="77777777" w:rsidTr="009C74ED">
        <w:trPr>
          <w:trHeight w:val="300"/>
        </w:trPr>
        <w:tc>
          <w:tcPr>
            <w:tcW w:w="2080" w:type="dxa"/>
            <w:tcBorders>
              <w:top w:val="nil"/>
              <w:left w:val="single" w:sz="8" w:space="0" w:color="4F81BD"/>
              <w:bottom w:val="nil"/>
              <w:right w:val="nil"/>
            </w:tcBorders>
            <w:shd w:val="clear" w:color="auto" w:fill="auto"/>
            <w:vAlign w:val="bottom"/>
            <w:hideMark/>
          </w:tcPr>
          <w:p w14:paraId="53A4DA7D" w14:textId="77777777" w:rsidR="009C74ED" w:rsidRPr="009C74ED" w:rsidRDefault="009C74ED" w:rsidP="009C74ED">
            <w:pPr>
              <w:spacing w:after="0" w:line="240" w:lineRule="auto"/>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Ostatní náklady</w:t>
            </w:r>
          </w:p>
        </w:tc>
        <w:tc>
          <w:tcPr>
            <w:tcW w:w="1000" w:type="dxa"/>
            <w:tcBorders>
              <w:top w:val="nil"/>
              <w:left w:val="nil"/>
              <w:bottom w:val="nil"/>
              <w:right w:val="nil"/>
            </w:tcBorders>
            <w:shd w:val="clear" w:color="000000" w:fill="DCE6F1"/>
            <w:noWrap/>
            <w:vAlign w:val="bottom"/>
            <w:hideMark/>
          </w:tcPr>
          <w:p w14:paraId="765EDAF4"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6 862</w:t>
            </w:r>
          </w:p>
        </w:tc>
        <w:tc>
          <w:tcPr>
            <w:tcW w:w="1000" w:type="dxa"/>
            <w:tcBorders>
              <w:top w:val="nil"/>
              <w:left w:val="nil"/>
              <w:bottom w:val="nil"/>
              <w:right w:val="nil"/>
            </w:tcBorders>
            <w:shd w:val="clear" w:color="auto" w:fill="auto"/>
            <w:noWrap/>
            <w:vAlign w:val="bottom"/>
            <w:hideMark/>
          </w:tcPr>
          <w:p w14:paraId="3002B1E9"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6 724</w:t>
            </w:r>
          </w:p>
        </w:tc>
        <w:tc>
          <w:tcPr>
            <w:tcW w:w="1000" w:type="dxa"/>
            <w:tcBorders>
              <w:top w:val="nil"/>
              <w:left w:val="nil"/>
              <w:bottom w:val="nil"/>
              <w:right w:val="nil"/>
            </w:tcBorders>
            <w:shd w:val="clear" w:color="000000" w:fill="DCE6F1"/>
            <w:noWrap/>
            <w:vAlign w:val="bottom"/>
            <w:hideMark/>
          </w:tcPr>
          <w:p w14:paraId="72700771"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6 074</w:t>
            </w:r>
          </w:p>
        </w:tc>
        <w:tc>
          <w:tcPr>
            <w:tcW w:w="1000" w:type="dxa"/>
            <w:tcBorders>
              <w:top w:val="nil"/>
              <w:left w:val="nil"/>
              <w:bottom w:val="nil"/>
              <w:right w:val="nil"/>
            </w:tcBorders>
            <w:shd w:val="clear" w:color="auto" w:fill="auto"/>
            <w:noWrap/>
            <w:vAlign w:val="bottom"/>
            <w:hideMark/>
          </w:tcPr>
          <w:p w14:paraId="4EDA650C"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5 794</w:t>
            </w:r>
          </w:p>
        </w:tc>
        <w:tc>
          <w:tcPr>
            <w:tcW w:w="1000" w:type="dxa"/>
            <w:tcBorders>
              <w:top w:val="nil"/>
              <w:left w:val="nil"/>
              <w:bottom w:val="nil"/>
              <w:right w:val="nil"/>
            </w:tcBorders>
            <w:shd w:val="clear" w:color="000000" w:fill="DCE6F1"/>
            <w:noWrap/>
            <w:vAlign w:val="bottom"/>
            <w:hideMark/>
          </w:tcPr>
          <w:p w14:paraId="2B6365E3"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6 728</w:t>
            </w:r>
          </w:p>
        </w:tc>
        <w:tc>
          <w:tcPr>
            <w:tcW w:w="1000" w:type="dxa"/>
            <w:tcBorders>
              <w:top w:val="nil"/>
              <w:left w:val="nil"/>
              <w:bottom w:val="nil"/>
              <w:right w:val="nil"/>
            </w:tcBorders>
            <w:shd w:val="clear" w:color="auto" w:fill="auto"/>
            <w:noWrap/>
            <w:vAlign w:val="bottom"/>
            <w:hideMark/>
          </w:tcPr>
          <w:p w14:paraId="1F4877DB"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6 979</w:t>
            </w:r>
          </w:p>
        </w:tc>
        <w:tc>
          <w:tcPr>
            <w:tcW w:w="1000" w:type="dxa"/>
            <w:tcBorders>
              <w:top w:val="nil"/>
              <w:left w:val="nil"/>
              <w:bottom w:val="nil"/>
              <w:right w:val="single" w:sz="8" w:space="0" w:color="4F81BD"/>
            </w:tcBorders>
            <w:shd w:val="clear" w:color="000000" w:fill="DCE6F1"/>
            <w:noWrap/>
            <w:vAlign w:val="bottom"/>
            <w:hideMark/>
          </w:tcPr>
          <w:p w14:paraId="3A2ABD7D" w14:textId="77777777" w:rsidR="009C74ED" w:rsidRPr="009C74ED" w:rsidRDefault="009C74ED" w:rsidP="009C74ED">
            <w:pPr>
              <w:spacing w:after="0" w:line="240" w:lineRule="auto"/>
              <w:jc w:val="right"/>
              <w:rPr>
                <w:rFonts w:ascii="Calibri" w:eastAsia="Times New Roman" w:hAnsi="Calibri" w:cs="Calibri"/>
                <w:color w:val="000000"/>
                <w:szCs w:val="21"/>
                <w:lang w:eastAsia="cs-CZ"/>
              </w:rPr>
            </w:pPr>
            <w:r w:rsidRPr="009C74ED">
              <w:rPr>
                <w:rFonts w:ascii="Calibri" w:eastAsia="Times New Roman" w:hAnsi="Calibri" w:cs="Calibri"/>
                <w:color w:val="000000"/>
                <w:szCs w:val="21"/>
                <w:lang w:eastAsia="cs-CZ"/>
              </w:rPr>
              <w:t>6 479</w:t>
            </w:r>
          </w:p>
        </w:tc>
      </w:tr>
      <w:tr w:rsidR="009C74ED" w:rsidRPr="009C74ED" w14:paraId="0BFAC753" w14:textId="77777777" w:rsidTr="009C74ED">
        <w:trPr>
          <w:trHeight w:val="300"/>
        </w:trPr>
        <w:tc>
          <w:tcPr>
            <w:tcW w:w="2080" w:type="dxa"/>
            <w:tcBorders>
              <w:top w:val="nil"/>
              <w:left w:val="single" w:sz="8" w:space="0" w:color="4F81BD"/>
              <w:bottom w:val="single" w:sz="8" w:space="0" w:color="4F81BD"/>
              <w:right w:val="nil"/>
            </w:tcBorders>
            <w:shd w:val="clear" w:color="000000" w:fill="EEF3F8"/>
            <w:vAlign w:val="bottom"/>
            <w:hideMark/>
          </w:tcPr>
          <w:p w14:paraId="5F88E8A8" w14:textId="77777777" w:rsidR="009C74ED" w:rsidRPr="009C74ED" w:rsidRDefault="009C74ED" w:rsidP="009C74ED">
            <w:pPr>
              <w:spacing w:after="0" w:line="240" w:lineRule="auto"/>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Celkové náklady</w:t>
            </w:r>
          </w:p>
        </w:tc>
        <w:tc>
          <w:tcPr>
            <w:tcW w:w="1000" w:type="dxa"/>
            <w:tcBorders>
              <w:top w:val="nil"/>
              <w:left w:val="nil"/>
              <w:bottom w:val="single" w:sz="8" w:space="0" w:color="4F81BD"/>
              <w:right w:val="nil"/>
            </w:tcBorders>
            <w:shd w:val="clear" w:color="000000" w:fill="EEF3F8"/>
            <w:noWrap/>
            <w:vAlign w:val="bottom"/>
            <w:hideMark/>
          </w:tcPr>
          <w:p w14:paraId="22525CE2" w14:textId="77777777" w:rsidR="009C74ED" w:rsidRPr="009C74ED" w:rsidRDefault="009C74ED" w:rsidP="009C74ED">
            <w:pPr>
              <w:spacing w:after="0" w:line="240" w:lineRule="auto"/>
              <w:jc w:val="right"/>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43 449</w:t>
            </w:r>
          </w:p>
        </w:tc>
        <w:tc>
          <w:tcPr>
            <w:tcW w:w="1000" w:type="dxa"/>
            <w:tcBorders>
              <w:top w:val="nil"/>
              <w:left w:val="nil"/>
              <w:bottom w:val="single" w:sz="8" w:space="0" w:color="4F81BD"/>
              <w:right w:val="nil"/>
            </w:tcBorders>
            <w:shd w:val="clear" w:color="000000" w:fill="EEF3F8"/>
            <w:noWrap/>
            <w:vAlign w:val="bottom"/>
            <w:hideMark/>
          </w:tcPr>
          <w:p w14:paraId="4CC21A80" w14:textId="77777777" w:rsidR="009C74ED" w:rsidRPr="009C74ED" w:rsidRDefault="009C74ED" w:rsidP="009C74ED">
            <w:pPr>
              <w:spacing w:after="0" w:line="240" w:lineRule="auto"/>
              <w:jc w:val="right"/>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41 984</w:t>
            </w:r>
          </w:p>
        </w:tc>
        <w:tc>
          <w:tcPr>
            <w:tcW w:w="1000" w:type="dxa"/>
            <w:tcBorders>
              <w:top w:val="nil"/>
              <w:left w:val="nil"/>
              <w:bottom w:val="single" w:sz="8" w:space="0" w:color="4F81BD"/>
              <w:right w:val="nil"/>
            </w:tcBorders>
            <w:shd w:val="clear" w:color="000000" w:fill="EEF3F8"/>
            <w:noWrap/>
            <w:vAlign w:val="bottom"/>
            <w:hideMark/>
          </w:tcPr>
          <w:p w14:paraId="4D7F7684" w14:textId="77777777" w:rsidR="009C74ED" w:rsidRPr="009C74ED" w:rsidRDefault="009C74ED" w:rsidP="009C74ED">
            <w:pPr>
              <w:spacing w:after="0" w:line="240" w:lineRule="auto"/>
              <w:jc w:val="right"/>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38 352</w:t>
            </w:r>
          </w:p>
        </w:tc>
        <w:tc>
          <w:tcPr>
            <w:tcW w:w="1000" w:type="dxa"/>
            <w:tcBorders>
              <w:top w:val="nil"/>
              <w:left w:val="nil"/>
              <w:bottom w:val="single" w:sz="8" w:space="0" w:color="4F81BD"/>
              <w:right w:val="nil"/>
            </w:tcBorders>
            <w:shd w:val="clear" w:color="000000" w:fill="EEF3F8"/>
            <w:noWrap/>
            <w:vAlign w:val="bottom"/>
            <w:hideMark/>
          </w:tcPr>
          <w:p w14:paraId="2DF293E0" w14:textId="77777777" w:rsidR="009C74ED" w:rsidRPr="009C74ED" w:rsidRDefault="009C74ED" w:rsidP="009C74ED">
            <w:pPr>
              <w:spacing w:after="0" w:line="240" w:lineRule="auto"/>
              <w:jc w:val="right"/>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38 737</w:t>
            </w:r>
          </w:p>
        </w:tc>
        <w:tc>
          <w:tcPr>
            <w:tcW w:w="1000" w:type="dxa"/>
            <w:tcBorders>
              <w:top w:val="nil"/>
              <w:left w:val="nil"/>
              <w:bottom w:val="single" w:sz="8" w:space="0" w:color="4F81BD"/>
              <w:right w:val="nil"/>
            </w:tcBorders>
            <w:shd w:val="clear" w:color="000000" w:fill="EEF3F8"/>
            <w:noWrap/>
            <w:vAlign w:val="bottom"/>
            <w:hideMark/>
          </w:tcPr>
          <w:p w14:paraId="4E1FBDC2" w14:textId="77777777" w:rsidR="009C74ED" w:rsidRPr="009C74ED" w:rsidRDefault="009C74ED" w:rsidP="009C74ED">
            <w:pPr>
              <w:spacing w:after="0" w:line="240" w:lineRule="auto"/>
              <w:jc w:val="right"/>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41 113</w:t>
            </w:r>
          </w:p>
        </w:tc>
        <w:tc>
          <w:tcPr>
            <w:tcW w:w="1000" w:type="dxa"/>
            <w:tcBorders>
              <w:top w:val="nil"/>
              <w:left w:val="nil"/>
              <w:bottom w:val="single" w:sz="8" w:space="0" w:color="4F81BD"/>
              <w:right w:val="nil"/>
            </w:tcBorders>
            <w:shd w:val="clear" w:color="000000" w:fill="EEF3F8"/>
            <w:noWrap/>
            <w:vAlign w:val="bottom"/>
            <w:hideMark/>
          </w:tcPr>
          <w:p w14:paraId="32BF9CF6" w14:textId="77777777" w:rsidR="009C74ED" w:rsidRPr="009C74ED" w:rsidRDefault="009C74ED" w:rsidP="009C74ED">
            <w:pPr>
              <w:spacing w:after="0" w:line="240" w:lineRule="auto"/>
              <w:jc w:val="right"/>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41 504</w:t>
            </w:r>
          </w:p>
        </w:tc>
        <w:tc>
          <w:tcPr>
            <w:tcW w:w="1000" w:type="dxa"/>
            <w:tcBorders>
              <w:top w:val="nil"/>
              <w:left w:val="nil"/>
              <w:bottom w:val="single" w:sz="8" w:space="0" w:color="4F81BD"/>
              <w:right w:val="single" w:sz="8" w:space="0" w:color="4F81BD"/>
            </w:tcBorders>
            <w:shd w:val="clear" w:color="000000" w:fill="EEF3F8"/>
            <w:noWrap/>
            <w:vAlign w:val="bottom"/>
            <w:hideMark/>
          </w:tcPr>
          <w:p w14:paraId="7BF548E7" w14:textId="77777777" w:rsidR="009C74ED" w:rsidRPr="009C74ED" w:rsidRDefault="009C74ED" w:rsidP="009C74ED">
            <w:pPr>
              <w:spacing w:after="0" w:line="240" w:lineRule="auto"/>
              <w:jc w:val="right"/>
              <w:rPr>
                <w:rFonts w:ascii="Calibri" w:eastAsia="Times New Roman" w:hAnsi="Calibri" w:cs="Calibri"/>
                <w:b/>
                <w:bCs/>
                <w:color w:val="000000"/>
                <w:szCs w:val="21"/>
                <w:lang w:eastAsia="cs-CZ"/>
              </w:rPr>
            </w:pPr>
            <w:r w:rsidRPr="009C74ED">
              <w:rPr>
                <w:rFonts w:ascii="Calibri" w:eastAsia="Times New Roman" w:hAnsi="Calibri" w:cs="Calibri"/>
                <w:b/>
                <w:bCs/>
                <w:color w:val="000000"/>
                <w:szCs w:val="21"/>
                <w:lang w:eastAsia="cs-CZ"/>
              </w:rPr>
              <w:t>40 297</w:t>
            </w:r>
          </w:p>
        </w:tc>
      </w:tr>
    </w:tbl>
    <w:p w14:paraId="58536B25" w14:textId="77777777" w:rsidR="009C74ED" w:rsidRPr="008C1EAB" w:rsidRDefault="009C74ED" w:rsidP="00423815">
      <w:pPr>
        <w:rPr>
          <w:highlight w:val="yellow"/>
          <w:lang w:bidi="hi-IN"/>
        </w:rPr>
      </w:pPr>
    </w:p>
    <w:p w14:paraId="62339F5A" w14:textId="7A53E801" w:rsidR="007036D6" w:rsidRPr="00C46019" w:rsidRDefault="007036D6" w:rsidP="00AD2E56">
      <w:pPr>
        <w:pStyle w:val="TEXTpodTABOBR"/>
        <w:spacing w:before="180" w:after="180" w:line="276" w:lineRule="auto"/>
        <w:ind w:firstLine="0"/>
        <w:rPr>
          <w:rFonts w:asciiTheme="minorHAnsi" w:hAnsiTheme="minorHAnsi" w:cstheme="minorHAnsi"/>
          <w:sz w:val="21"/>
          <w:szCs w:val="21"/>
        </w:rPr>
      </w:pPr>
      <w:r w:rsidRPr="00C46019">
        <w:rPr>
          <w:rFonts w:asciiTheme="minorHAnsi" w:hAnsiTheme="minorHAnsi" w:cstheme="minorHAnsi"/>
          <w:sz w:val="21"/>
          <w:szCs w:val="21"/>
        </w:rPr>
        <w:t>Celková částka, kterou uhradili pojištěnci všech činných ZP za regulační poplatky a započitatelné doplatky na</w:t>
      </w:r>
      <w:r w:rsidR="006E1006" w:rsidRPr="00C46019">
        <w:rPr>
          <w:rFonts w:asciiTheme="minorHAnsi" w:hAnsiTheme="minorHAnsi" w:cstheme="minorHAnsi"/>
          <w:sz w:val="21"/>
          <w:szCs w:val="21"/>
        </w:rPr>
        <w:t> </w:t>
      </w:r>
      <w:r w:rsidRPr="00C46019">
        <w:rPr>
          <w:rFonts w:asciiTheme="minorHAnsi" w:hAnsiTheme="minorHAnsi" w:cstheme="minorHAnsi"/>
          <w:sz w:val="21"/>
          <w:szCs w:val="21"/>
        </w:rPr>
        <w:t xml:space="preserve">léčivé přípravky a potraviny pro zvláštní lékařské účely, činila </w:t>
      </w:r>
      <w:r w:rsidRPr="00BA1C2B">
        <w:rPr>
          <w:rFonts w:asciiTheme="minorHAnsi" w:hAnsiTheme="minorHAnsi" w:cstheme="minorHAnsi"/>
          <w:sz w:val="21"/>
          <w:szCs w:val="21"/>
        </w:rPr>
        <w:t xml:space="preserve">celkem </w:t>
      </w:r>
      <w:r w:rsidR="00C46019" w:rsidRPr="00BA1C2B">
        <w:rPr>
          <w:rFonts w:asciiTheme="minorHAnsi" w:hAnsiTheme="minorHAnsi" w:cstheme="minorHAnsi"/>
          <w:sz w:val="21"/>
          <w:szCs w:val="21"/>
        </w:rPr>
        <w:t>4,119</w:t>
      </w:r>
      <w:r w:rsidRPr="00BA1C2B">
        <w:rPr>
          <w:rFonts w:asciiTheme="minorHAnsi" w:hAnsiTheme="minorHAnsi" w:cstheme="minorHAnsi"/>
          <w:sz w:val="21"/>
          <w:szCs w:val="21"/>
        </w:rPr>
        <w:t xml:space="preserve"> mld. Kč</w:t>
      </w:r>
      <w:r w:rsidRPr="00C46019">
        <w:rPr>
          <w:rFonts w:asciiTheme="minorHAnsi" w:hAnsiTheme="minorHAnsi" w:cstheme="minorHAnsi"/>
          <w:sz w:val="21"/>
          <w:szCs w:val="21"/>
        </w:rPr>
        <w:t xml:space="preserve"> (</w:t>
      </w:r>
      <w:r w:rsidR="00127631" w:rsidRPr="00C46019">
        <w:rPr>
          <w:rFonts w:asciiTheme="minorHAnsi" w:hAnsiTheme="minorHAnsi" w:cstheme="minorHAnsi"/>
          <w:sz w:val="21"/>
          <w:szCs w:val="21"/>
        </w:rPr>
        <w:t xml:space="preserve">meziroční </w:t>
      </w:r>
      <w:r w:rsidR="0040695D" w:rsidRPr="00C46019">
        <w:rPr>
          <w:rFonts w:asciiTheme="minorHAnsi" w:hAnsiTheme="minorHAnsi" w:cstheme="minorHAnsi"/>
          <w:sz w:val="21"/>
          <w:szCs w:val="21"/>
        </w:rPr>
        <w:t>nárůst</w:t>
      </w:r>
      <w:r w:rsidR="00F73853" w:rsidRPr="00C46019">
        <w:rPr>
          <w:rFonts w:asciiTheme="minorHAnsi" w:hAnsiTheme="minorHAnsi" w:cstheme="minorHAnsi"/>
          <w:sz w:val="21"/>
          <w:szCs w:val="21"/>
        </w:rPr>
        <w:t xml:space="preserve"> </w:t>
      </w:r>
      <w:r w:rsidR="00127631" w:rsidRPr="00C46019">
        <w:rPr>
          <w:rFonts w:asciiTheme="minorHAnsi" w:hAnsiTheme="minorHAnsi" w:cstheme="minorHAnsi"/>
          <w:sz w:val="21"/>
          <w:szCs w:val="21"/>
        </w:rPr>
        <w:t xml:space="preserve">činil </w:t>
      </w:r>
      <w:r w:rsidR="00BC1986" w:rsidRPr="00C46019">
        <w:rPr>
          <w:rFonts w:asciiTheme="minorHAnsi" w:hAnsiTheme="minorHAnsi" w:cstheme="minorHAnsi"/>
          <w:sz w:val="21"/>
          <w:szCs w:val="21"/>
        </w:rPr>
        <w:t>13</w:t>
      </w:r>
      <w:r w:rsidR="00F73853" w:rsidRPr="00C46019">
        <w:rPr>
          <w:rFonts w:asciiTheme="minorHAnsi" w:hAnsiTheme="minorHAnsi" w:cstheme="minorHAnsi"/>
          <w:sz w:val="21"/>
          <w:szCs w:val="21"/>
        </w:rPr>
        <w:t>,</w:t>
      </w:r>
      <w:r w:rsidR="00C46019" w:rsidRPr="00C46019">
        <w:rPr>
          <w:rFonts w:asciiTheme="minorHAnsi" w:hAnsiTheme="minorHAnsi" w:cstheme="minorHAnsi"/>
          <w:sz w:val="21"/>
          <w:szCs w:val="21"/>
        </w:rPr>
        <w:t>9</w:t>
      </w:r>
      <w:r w:rsidR="00127631" w:rsidRPr="00C46019">
        <w:rPr>
          <w:rFonts w:asciiTheme="minorHAnsi" w:hAnsiTheme="minorHAnsi" w:cstheme="minorHAnsi"/>
          <w:sz w:val="21"/>
          <w:szCs w:val="21"/>
        </w:rPr>
        <w:t> %</w:t>
      </w:r>
      <w:r w:rsidRPr="00C46019">
        <w:rPr>
          <w:rFonts w:asciiTheme="minorHAnsi" w:hAnsiTheme="minorHAnsi" w:cstheme="minorHAnsi"/>
          <w:sz w:val="21"/>
          <w:szCs w:val="21"/>
        </w:rPr>
        <w:t>). Z této částky bylo za regulační poplatky vybráno 0,</w:t>
      </w:r>
      <w:r w:rsidR="00F73853" w:rsidRPr="00C46019">
        <w:rPr>
          <w:rFonts w:asciiTheme="minorHAnsi" w:hAnsiTheme="minorHAnsi" w:cstheme="minorHAnsi"/>
          <w:sz w:val="21"/>
          <w:szCs w:val="21"/>
        </w:rPr>
        <w:t>0</w:t>
      </w:r>
      <w:r w:rsidR="00BC1986" w:rsidRPr="00C46019">
        <w:rPr>
          <w:rFonts w:asciiTheme="minorHAnsi" w:hAnsiTheme="minorHAnsi" w:cstheme="minorHAnsi"/>
          <w:sz w:val="21"/>
          <w:szCs w:val="21"/>
        </w:rPr>
        <w:t>5</w:t>
      </w:r>
      <w:r w:rsidR="00C46019" w:rsidRPr="00C46019">
        <w:rPr>
          <w:rFonts w:asciiTheme="minorHAnsi" w:hAnsiTheme="minorHAnsi" w:cstheme="minorHAnsi"/>
          <w:sz w:val="21"/>
          <w:szCs w:val="21"/>
        </w:rPr>
        <w:t>8</w:t>
      </w:r>
      <w:r w:rsidRPr="00C46019">
        <w:rPr>
          <w:rFonts w:asciiTheme="minorHAnsi" w:hAnsiTheme="minorHAnsi" w:cstheme="minorHAnsi"/>
          <w:sz w:val="21"/>
          <w:szCs w:val="21"/>
        </w:rPr>
        <w:t xml:space="preserve"> mld. Kč a za započitatelné doplatky na léčivé přípravky a</w:t>
      </w:r>
      <w:r w:rsidR="000A300E" w:rsidRPr="00C46019">
        <w:rPr>
          <w:rFonts w:asciiTheme="minorHAnsi" w:hAnsiTheme="minorHAnsi" w:cstheme="minorHAnsi"/>
          <w:sz w:val="21"/>
          <w:szCs w:val="21"/>
        </w:rPr>
        <w:t> </w:t>
      </w:r>
      <w:r w:rsidRPr="00C46019">
        <w:rPr>
          <w:rFonts w:asciiTheme="minorHAnsi" w:hAnsiTheme="minorHAnsi" w:cstheme="minorHAnsi"/>
          <w:sz w:val="21"/>
          <w:szCs w:val="21"/>
        </w:rPr>
        <w:t xml:space="preserve">potraviny pro zvláštní lékařské účely </w:t>
      </w:r>
      <w:r w:rsidR="00C46019" w:rsidRPr="00C46019">
        <w:rPr>
          <w:rFonts w:asciiTheme="minorHAnsi" w:hAnsiTheme="minorHAnsi" w:cstheme="minorHAnsi"/>
          <w:sz w:val="21"/>
          <w:szCs w:val="21"/>
        </w:rPr>
        <w:t>4</w:t>
      </w:r>
      <w:r w:rsidRPr="00C46019">
        <w:rPr>
          <w:rFonts w:asciiTheme="minorHAnsi" w:hAnsiTheme="minorHAnsi" w:cstheme="minorHAnsi"/>
          <w:sz w:val="21"/>
          <w:szCs w:val="21"/>
        </w:rPr>
        <w:t>,</w:t>
      </w:r>
      <w:r w:rsidR="00C46019" w:rsidRPr="00C46019">
        <w:rPr>
          <w:rFonts w:asciiTheme="minorHAnsi" w:hAnsiTheme="minorHAnsi" w:cstheme="minorHAnsi"/>
          <w:sz w:val="21"/>
          <w:szCs w:val="21"/>
        </w:rPr>
        <w:t>061</w:t>
      </w:r>
      <w:r w:rsidRPr="00C46019">
        <w:rPr>
          <w:rFonts w:asciiTheme="minorHAnsi" w:hAnsiTheme="minorHAnsi" w:cstheme="minorHAnsi"/>
          <w:sz w:val="21"/>
          <w:szCs w:val="21"/>
        </w:rPr>
        <w:t xml:space="preserve"> mld. Kč. </w:t>
      </w:r>
      <w:r w:rsidRPr="00C46019">
        <w:rPr>
          <w:rFonts w:asciiTheme="minorHAnsi" w:eastAsia="SimSun" w:hAnsiTheme="minorHAnsi" w:cstheme="minorHAnsi"/>
          <w:sz w:val="21"/>
          <w:szCs w:val="21"/>
        </w:rPr>
        <w:t>Tyto prostředky získali jednotliví PZS.</w:t>
      </w:r>
      <w:r w:rsidR="00CF6DD7" w:rsidRPr="00C46019">
        <w:rPr>
          <w:rStyle w:val="Znakapoznpodarou"/>
          <w:rFonts w:asciiTheme="minorHAnsi" w:eastAsia="SimSun" w:hAnsiTheme="minorHAnsi" w:cstheme="minorHAnsi"/>
          <w:sz w:val="21"/>
          <w:szCs w:val="21"/>
        </w:rPr>
        <w:footnoteReference w:id="8"/>
      </w:r>
    </w:p>
    <w:p w14:paraId="71751BEE" w14:textId="793EC646" w:rsidR="007036D6" w:rsidRPr="005A00C0" w:rsidRDefault="007036D6" w:rsidP="00AD2E56">
      <w:pPr>
        <w:pStyle w:val="TEXT"/>
        <w:spacing w:before="180" w:after="180" w:line="276" w:lineRule="auto"/>
        <w:ind w:firstLine="0"/>
        <w:rPr>
          <w:rFonts w:asciiTheme="minorHAnsi" w:eastAsia="SimSun" w:hAnsiTheme="minorHAnsi" w:cstheme="minorHAnsi"/>
          <w:sz w:val="21"/>
          <w:szCs w:val="21"/>
        </w:rPr>
      </w:pPr>
      <w:r w:rsidRPr="005A00C0">
        <w:rPr>
          <w:rFonts w:asciiTheme="minorHAnsi" w:hAnsiTheme="minorHAnsi" w:cstheme="minorHAnsi"/>
          <w:b/>
          <w:sz w:val="21"/>
          <w:szCs w:val="21"/>
        </w:rPr>
        <w:t xml:space="preserve">Objem finančních prostředků (vratek), </w:t>
      </w:r>
      <w:r w:rsidRPr="005A00C0">
        <w:rPr>
          <w:rFonts w:asciiTheme="minorHAnsi" w:hAnsiTheme="minorHAnsi" w:cstheme="minorHAnsi"/>
          <w:sz w:val="21"/>
          <w:szCs w:val="21"/>
        </w:rPr>
        <w:t xml:space="preserve">který podle § 16b zákona č. 48/1997 Sb. ZP vrátily </w:t>
      </w:r>
      <w:r w:rsidR="000A300E" w:rsidRPr="005A00C0">
        <w:rPr>
          <w:rFonts w:asciiTheme="minorHAnsi" w:hAnsiTheme="minorHAnsi" w:cstheme="minorHAnsi"/>
          <w:sz w:val="21"/>
          <w:szCs w:val="21"/>
        </w:rPr>
        <w:t>1</w:t>
      </w:r>
      <w:r w:rsidR="00052299" w:rsidRPr="005A00C0">
        <w:rPr>
          <w:rFonts w:asciiTheme="minorHAnsi" w:hAnsiTheme="minorHAnsi" w:cstheme="minorHAnsi"/>
          <w:sz w:val="21"/>
          <w:szCs w:val="21"/>
        </w:rPr>
        <w:t> </w:t>
      </w:r>
      <w:r w:rsidR="00D57EBB" w:rsidRPr="005A00C0">
        <w:rPr>
          <w:rFonts w:asciiTheme="minorHAnsi" w:hAnsiTheme="minorHAnsi" w:cstheme="minorHAnsi"/>
          <w:sz w:val="21"/>
          <w:szCs w:val="21"/>
        </w:rPr>
        <w:t>344</w:t>
      </w:r>
      <w:r w:rsidR="00052299" w:rsidRPr="005A00C0">
        <w:rPr>
          <w:rFonts w:asciiTheme="minorHAnsi" w:hAnsiTheme="minorHAnsi" w:cstheme="minorHAnsi"/>
          <w:sz w:val="21"/>
          <w:szCs w:val="21"/>
        </w:rPr>
        <w:t> </w:t>
      </w:r>
      <w:r w:rsidR="00D57EBB" w:rsidRPr="005A00C0">
        <w:rPr>
          <w:rFonts w:asciiTheme="minorHAnsi" w:hAnsiTheme="minorHAnsi" w:cstheme="minorHAnsi"/>
          <w:sz w:val="21"/>
          <w:szCs w:val="21"/>
        </w:rPr>
        <w:t>513</w:t>
      </w:r>
      <w:r w:rsidRPr="005A00C0">
        <w:rPr>
          <w:rFonts w:asciiTheme="minorHAnsi" w:hAnsiTheme="minorHAnsi" w:cstheme="minorHAnsi"/>
          <w:sz w:val="21"/>
          <w:szCs w:val="21"/>
        </w:rPr>
        <w:t xml:space="preserve"> pojištěncům, činil </w:t>
      </w:r>
      <w:r w:rsidR="00BC1986" w:rsidRPr="005A00C0">
        <w:rPr>
          <w:rFonts w:asciiTheme="minorHAnsi" w:hAnsiTheme="minorHAnsi" w:cstheme="minorHAnsi"/>
          <w:sz w:val="21"/>
          <w:szCs w:val="21"/>
        </w:rPr>
        <w:t>1</w:t>
      </w:r>
      <w:r w:rsidRPr="005A00C0">
        <w:rPr>
          <w:rFonts w:asciiTheme="minorHAnsi" w:hAnsiTheme="minorHAnsi" w:cstheme="minorHAnsi"/>
          <w:sz w:val="21"/>
          <w:szCs w:val="21"/>
        </w:rPr>
        <w:t>,</w:t>
      </w:r>
      <w:r w:rsidR="00D57EBB" w:rsidRPr="005A00C0">
        <w:rPr>
          <w:rFonts w:asciiTheme="minorHAnsi" w:hAnsiTheme="minorHAnsi" w:cstheme="minorHAnsi"/>
          <w:sz w:val="21"/>
          <w:szCs w:val="21"/>
        </w:rPr>
        <w:t>321</w:t>
      </w:r>
      <w:r w:rsidRPr="005A00C0">
        <w:rPr>
          <w:rFonts w:asciiTheme="minorHAnsi" w:hAnsiTheme="minorHAnsi" w:cstheme="minorHAnsi"/>
          <w:sz w:val="21"/>
          <w:szCs w:val="21"/>
        </w:rPr>
        <w:t xml:space="preserve"> mld. Kč, </w:t>
      </w:r>
      <w:r w:rsidRPr="005A00C0">
        <w:rPr>
          <w:rFonts w:asciiTheme="minorHAnsi" w:eastAsia="SimSun" w:hAnsiTheme="minorHAnsi" w:cstheme="minorHAnsi"/>
          <w:sz w:val="21"/>
          <w:szCs w:val="21"/>
        </w:rPr>
        <w:t xml:space="preserve">což představuje v průměru </w:t>
      </w:r>
      <w:r w:rsidR="00D57EBB" w:rsidRPr="005A00C0">
        <w:rPr>
          <w:rFonts w:asciiTheme="minorHAnsi" w:eastAsia="SimSun" w:hAnsiTheme="minorHAnsi" w:cstheme="minorHAnsi"/>
          <w:sz w:val="21"/>
          <w:szCs w:val="21"/>
        </w:rPr>
        <w:t>983</w:t>
      </w:r>
      <w:r w:rsidRPr="005A00C0">
        <w:rPr>
          <w:rFonts w:asciiTheme="minorHAnsi" w:eastAsia="SimSun" w:hAnsiTheme="minorHAnsi" w:cstheme="minorHAnsi"/>
          <w:sz w:val="21"/>
          <w:szCs w:val="21"/>
        </w:rPr>
        <w:t> Kč na 1 vratku pro pojištěnce</w:t>
      </w:r>
      <w:r w:rsidR="00F07F9E" w:rsidRPr="005A00C0">
        <w:rPr>
          <w:rFonts w:asciiTheme="minorHAnsi" w:eastAsia="SimSun" w:hAnsiTheme="minorHAnsi" w:cstheme="minorHAnsi"/>
          <w:sz w:val="21"/>
          <w:szCs w:val="21"/>
        </w:rPr>
        <w:t xml:space="preserve"> </w:t>
      </w:r>
      <w:r w:rsidR="00F07F9E" w:rsidRPr="005A00C0">
        <w:rPr>
          <w:rFonts w:asciiTheme="minorHAnsi" w:hAnsiTheme="minorHAnsi" w:cstheme="minorHAnsi"/>
          <w:sz w:val="21"/>
          <w:szCs w:val="21"/>
        </w:rPr>
        <w:t>(</w:t>
      </w:r>
      <w:r w:rsidR="00F07F9E" w:rsidRPr="005A00C0">
        <w:rPr>
          <w:rFonts w:asciiTheme="minorHAnsi" w:hAnsiTheme="minorHAnsi" w:cstheme="minorHAnsi"/>
          <w:i/>
          <w:sz w:val="21"/>
          <w:szCs w:val="21"/>
        </w:rPr>
        <w:t>Tabulka č. 13)</w:t>
      </w:r>
      <w:r w:rsidRPr="005A00C0">
        <w:rPr>
          <w:rFonts w:asciiTheme="minorHAnsi" w:hAnsiTheme="minorHAnsi" w:cstheme="minorHAnsi"/>
          <w:sz w:val="21"/>
          <w:szCs w:val="21"/>
        </w:rPr>
        <w:t>. Jednalo se o</w:t>
      </w:r>
      <w:r w:rsidR="000A300E" w:rsidRPr="005A00C0">
        <w:rPr>
          <w:rFonts w:asciiTheme="minorHAnsi" w:hAnsiTheme="minorHAnsi" w:cstheme="minorHAnsi"/>
          <w:sz w:val="21"/>
          <w:szCs w:val="21"/>
        </w:rPr>
        <w:t> </w:t>
      </w:r>
      <w:r w:rsidRPr="005A00C0">
        <w:rPr>
          <w:rFonts w:asciiTheme="minorHAnsi" w:hAnsiTheme="minorHAnsi" w:cstheme="minorHAnsi"/>
          <w:sz w:val="21"/>
          <w:szCs w:val="21"/>
        </w:rPr>
        <w:t>pojištěnce, kteří v daném období překročili zákonný limit 5 000 Kč, resp. 1 000 Kč u dětí mladších 18 let a</w:t>
      </w:r>
      <w:r w:rsidR="000A300E" w:rsidRPr="005A00C0">
        <w:rPr>
          <w:rFonts w:asciiTheme="minorHAnsi" w:hAnsiTheme="minorHAnsi" w:cstheme="minorHAnsi"/>
          <w:sz w:val="21"/>
          <w:szCs w:val="21"/>
        </w:rPr>
        <w:t> </w:t>
      </w:r>
      <w:r w:rsidRPr="005A00C0">
        <w:rPr>
          <w:rFonts w:asciiTheme="minorHAnsi" w:hAnsiTheme="minorHAnsi" w:cstheme="minorHAnsi"/>
          <w:sz w:val="21"/>
          <w:szCs w:val="21"/>
        </w:rPr>
        <w:t>u</w:t>
      </w:r>
      <w:r w:rsidR="000A300E" w:rsidRPr="005A00C0">
        <w:rPr>
          <w:rFonts w:asciiTheme="minorHAnsi" w:hAnsiTheme="minorHAnsi" w:cstheme="minorHAnsi"/>
          <w:sz w:val="21"/>
          <w:szCs w:val="21"/>
        </w:rPr>
        <w:t> </w:t>
      </w:r>
      <w:r w:rsidRPr="005A00C0">
        <w:rPr>
          <w:rFonts w:asciiTheme="minorHAnsi" w:hAnsiTheme="minorHAnsi" w:cstheme="minorHAnsi"/>
          <w:sz w:val="21"/>
          <w:szCs w:val="21"/>
        </w:rPr>
        <w:t>pojištěnců starších 65</w:t>
      </w:r>
      <w:r w:rsidR="003D5AD1" w:rsidRPr="005A00C0">
        <w:rPr>
          <w:rFonts w:asciiTheme="minorHAnsi" w:hAnsiTheme="minorHAnsi" w:cstheme="minorHAnsi"/>
          <w:sz w:val="21"/>
          <w:szCs w:val="21"/>
        </w:rPr>
        <w:t> </w:t>
      </w:r>
      <w:r w:rsidRPr="005A00C0">
        <w:rPr>
          <w:rFonts w:asciiTheme="minorHAnsi" w:hAnsiTheme="minorHAnsi" w:cstheme="minorHAnsi"/>
          <w:sz w:val="21"/>
          <w:szCs w:val="21"/>
        </w:rPr>
        <w:t xml:space="preserve">let a 500 Kč u pojištěnců starších 70 let </w:t>
      </w:r>
      <w:r w:rsidR="00C1043C" w:rsidRPr="005A00C0">
        <w:rPr>
          <w:rFonts w:asciiTheme="minorHAnsi" w:hAnsiTheme="minorHAnsi" w:cstheme="minorHAnsi"/>
          <w:sz w:val="21"/>
          <w:szCs w:val="21"/>
        </w:rPr>
        <w:t xml:space="preserve">a </w:t>
      </w:r>
      <w:r w:rsidR="005A00C0" w:rsidRPr="005A00C0">
        <w:rPr>
          <w:rFonts w:asciiTheme="minorHAnsi" w:hAnsiTheme="minorHAnsi" w:cstheme="minorHAnsi"/>
          <w:sz w:val="21"/>
          <w:szCs w:val="21"/>
        </w:rPr>
        <w:t>pojištěnců, kteří jsou poživateli invalidního důchodu pro invaliditu třetího stupně a pojištěnců, kteří byli uznáni invalidními ve druhém nebo třetím stupni, ale nejsou poživateli invalidního důchodu z jiných důvodů</w:t>
      </w:r>
      <w:r w:rsidRPr="005A00C0">
        <w:rPr>
          <w:rFonts w:asciiTheme="minorHAnsi" w:hAnsiTheme="minorHAnsi" w:cstheme="minorHAnsi"/>
          <w:sz w:val="21"/>
          <w:szCs w:val="21"/>
        </w:rPr>
        <w:t>.</w:t>
      </w:r>
    </w:p>
    <w:p w14:paraId="34BD6A4E" w14:textId="22AB2A3F" w:rsidR="007036D6" w:rsidRPr="00720C33" w:rsidRDefault="000E7F13" w:rsidP="0021299E">
      <w:pPr>
        <w:pStyle w:val="Titulek"/>
        <w:jc w:val="both"/>
      </w:pPr>
      <w:bookmarkStart w:id="60" w:name="_Toc41837505"/>
      <w:bookmarkStart w:id="61" w:name="_Toc168993238"/>
      <w:r w:rsidRPr="00720C33">
        <w:t xml:space="preserve">Tabulka č. </w:t>
      </w:r>
      <w:r w:rsidRPr="00720C33">
        <w:rPr>
          <w:noProof/>
        </w:rPr>
        <w:fldChar w:fldCharType="begin"/>
      </w:r>
      <w:r w:rsidRPr="00720C33">
        <w:rPr>
          <w:noProof/>
        </w:rPr>
        <w:instrText xml:space="preserve"> SEQ Tabulka \* ARABIC </w:instrText>
      </w:r>
      <w:r w:rsidRPr="00720C33">
        <w:rPr>
          <w:noProof/>
        </w:rPr>
        <w:fldChar w:fldCharType="separate"/>
      </w:r>
      <w:r w:rsidR="00904274">
        <w:rPr>
          <w:noProof/>
        </w:rPr>
        <w:t>13</w:t>
      </w:r>
      <w:r w:rsidRPr="00720C33">
        <w:rPr>
          <w:noProof/>
        </w:rPr>
        <w:fldChar w:fldCharType="end"/>
      </w:r>
      <w:r w:rsidRPr="00720C33">
        <w:t>: Překročení zákonného limitu</w:t>
      </w:r>
      <w:bookmarkEnd w:id="60"/>
      <w:bookmarkEnd w:id="61"/>
      <w:r w:rsidRPr="00720C33">
        <w:t xml:space="preserve"> </w:t>
      </w:r>
    </w:p>
    <w:tbl>
      <w:tblPr>
        <w:tblW w:w="9080" w:type="dxa"/>
        <w:tblCellMar>
          <w:left w:w="70" w:type="dxa"/>
          <w:right w:w="70" w:type="dxa"/>
        </w:tblCellMar>
        <w:tblLook w:val="04A0" w:firstRow="1" w:lastRow="0" w:firstColumn="1" w:lastColumn="0" w:noHBand="0" w:noVBand="1"/>
      </w:tblPr>
      <w:tblGrid>
        <w:gridCol w:w="3080"/>
        <w:gridCol w:w="1000"/>
        <w:gridCol w:w="1000"/>
        <w:gridCol w:w="1000"/>
        <w:gridCol w:w="1000"/>
        <w:gridCol w:w="1000"/>
        <w:gridCol w:w="1000"/>
      </w:tblGrid>
      <w:tr w:rsidR="00720C33" w:rsidRPr="00720C33" w14:paraId="190E06EC" w14:textId="77777777" w:rsidTr="00720C33">
        <w:trPr>
          <w:trHeight w:val="600"/>
        </w:trPr>
        <w:tc>
          <w:tcPr>
            <w:tcW w:w="3080" w:type="dxa"/>
            <w:tcBorders>
              <w:top w:val="single" w:sz="8" w:space="0" w:color="4F81BD"/>
              <w:left w:val="single" w:sz="8" w:space="0" w:color="4F81BD"/>
              <w:bottom w:val="nil"/>
              <w:right w:val="nil"/>
            </w:tcBorders>
            <w:shd w:val="clear" w:color="000000" w:fill="4F81BD"/>
            <w:hideMark/>
          </w:tcPr>
          <w:p w14:paraId="2C5450CF" w14:textId="77777777" w:rsidR="00720C33" w:rsidRPr="00720C33" w:rsidRDefault="00720C33" w:rsidP="00720C33">
            <w:pPr>
              <w:spacing w:after="0" w:line="240" w:lineRule="auto"/>
              <w:rPr>
                <w:rFonts w:ascii="Calibri" w:eastAsia="Times New Roman" w:hAnsi="Calibri" w:cs="Calibri"/>
                <w:b/>
                <w:bCs/>
                <w:color w:val="FFFFFF"/>
                <w:szCs w:val="21"/>
                <w:lang w:eastAsia="cs-CZ"/>
              </w:rPr>
            </w:pPr>
            <w:r w:rsidRPr="00720C33">
              <w:rPr>
                <w:rFonts w:ascii="Calibri" w:eastAsia="Times New Roman" w:hAnsi="Calibri" w:cs="Calibri"/>
                <w:b/>
                <w:bCs/>
                <w:color w:val="FFFFFF"/>
                <w:szCs w:val="21"/>
                <w:lang w:eastAsia="cs-CZ"/>
              </w:rPr>
              <w:t>Ukazatel</w:t>
            </w:r>
          </w:p>
        </w:tc>
        <w:tc>
          <w:tcPr>
            <w:tcW w:w="1000" w:type="dxa"/>
            <w:tcBorders>
              <w:top w:val="single" w:sz="8" w:space="0" w:color="4F81BD"/>
              <w:left w:val="nil"/>
              <w:bottom w:val="nil"/>
              <w:right w:val="nil"/>
            </w:tcBorders>
            <w:shd w:val="clear" w:color="000000" w:fill="6691C6"/>
            <w:noWrap/>
            <w:hideMark/>
          </w:tcPr>
          <w:p w14:paraId="39ACD33E" w14:textId="77777777" w:rsidR="00720C33" w:rsidRPr="00720C33" w:rsidRDefault="00720C33" w:rsidP="00720C33">
            <w:pPr>
              <w:spacing w:after="0" w:line="240" w:lineRule="auto"/>
              <w:jc w:val="center"/>
              <w:rPr>
                <w:rFonts w:ascii="Calibri" w:eastAsia="Times New Roman" w:hAnsi="Calibri" w:cs="Calibri"/>
                <w:b/>
                <w:bCs/>
                <w:color w:val="FFFFFF"/>
                <w:szCs w:val="21"/>
                <w:lang w:eastAsia="cs-CZ"/>
              </w:rPr>
            </w:pPr>
            <w:r w:rsidRPr="00720C33">
              <w:rPr>
                <w:rFonts w:ascii="Calibri" w:eastAsia="Times New Roman" w:hAnsi="Calibri" w:cs="Calibri"/>
                <w:b/>
                <w:bCs/>
                <w:color w:val="FFFFFF"/>
                <w:szCs w:val="21"/>
                <w:lang w:eastAsia="cs-CZ"/>
              </w:rPr>
              <w:t>2018</w:t>
            </w:r>
          </w:p>
        </w:tc>
        <w:tc>
          <w:tcPr>
            <w:tcW w:w="1000" w:type="dxa"/>
            <w:tcBorders>
              <w:top w:val="single" w:sz="8" w:space="0" w:color="4F81BD"/>
              <w:left w:val="nil"/>
              <w:bottom w:val="nil"/>
              <w:right w:val="nil"/>
            </w:tcBorders>
            <w:shd w:val="clear" w:color="000000" w:fill="4F81BD"/>
            <w:noWrap/>
            <w:hideMark/>
          </w:tcPr>
          <w:p w14:paraId="3630B449" w14:textId="77777777" w:rsidR="00720C33" w:rsidRPr="00720C33" w:rsidRDefault="00720C33" w:rsidP="00720C33">
            <w:pPr>
              <w:spacing w:after="0" w:line="240" w:lineRule="auto"/>
              <w:jc w:val="center"/>
              <w:rPr>
                <w:rFonts w:ascii="Calibri" w:eastAsia="Times New Roman" w:hAnsi="Calibri" w:cs="Calibri"/>
                <w:b/>
                <w:bCs/>
                <w:color w:val="FFFFFF"/>
                <w:szCs w:val="21"/>
                <w:lang w:eastAsia="cs-CZ"/>
              </w:rPr>
            </w:pPr>
            <w:r w:rsidRPr="00720C33">
              <w:rPr>
                <w:rFonts w:ascii="Calibri" w:eastAsia="Times New Roman" w:hAnsi="Calibri" w:cs="Calibri"/>
                <w:b/>
                <w:bCs/>
                <w:color w:val="FFFFFF"/>
                <w:szCs w:val="21"/>
                <w:lang w:eastAsia="cs-CZ"/>
              </w:rPr>
              <w:t>2019</w:t>
            </w:r>
          </w:p>
        </w:tc>
        <w:tc>
          <w:tcPr>
            <w:tcW w:w="1000" w:type="dxa"/>
            <w:tcBorders>
              <w:top w:val="single" w:sz="8" w:space="0" w:color="4F81BD"/>
              <w:left w:val="nil"/>
              <w:bottom w:val="nil"/>
              <w:right w:val="nil"/>
            </w:tcBorders>
            <w:shd w:val="clear" w:color="000000" w:fill="6691C6"/>
            <w:noWrap/>
            <w:hideMark/>
          </w:tcPr>
          <w:p w14:paraId="0581284B" w14:textId="77777777" w:rsidR="00720C33" w:rsidRPr="00720C33" w:rsidRDefault="00720C33" w:rsidP="00720C33">
            <w:pPr>
              <w:spacing w:after="0" w:line="240" w:lineRule="auto"/>
              <w:jc w:val="center"/>
              <w:rPr>
                <w:rFonts w:ascii="Calibri" w:eastAsia="Times New Roman" w:hAnsi="Calibri" w:cs="Calibri"/>
                <w:b/>
                <w:bCs/>
                <w:color w:val="FFFFFF"/>
                <w:szCs w:val="21"/>
                <w:lang w:eastAsia="cs-CZ"/>
              </w:rPr>
            </w:pPr>
            <w:r w:rsidRPr="00720C33">
              <w:rPr>
                <w:rFonts w:ascii="Calibri" w:eastAsia="Times New Roman" w:hAnsi="Calibri" w:cs="Calibri"/>
                <w:b/>
                <w:bCs/>
                <w:color w:val="FFFFFF"/>
                <w:szCs w:val="21"/>
                <w:lang w:eastAsia="cs-CZ"/>
              </w:rPr>
              <w:t>2020</w:t>
            </w:r>
          </w:p>
        </w:tc>
        <w:tc>
          <w:tcPr>
            <w:tcW w:w="1000" w:type="dxa"/>
            <w:tcBorders>
              <w:top w:val="single" w:sz="8" w:space="0" w:color="4F81BD"/>
              <w:left w:val="nil"/>
              <w:bottom w:val="nil"/>
              <w:right w:val="nil"/>
            </w:tcBorders>
            <w:shd w:val="clear" w:color="000000" w:fill="4F81BD"/>
            <w:hideMark/>
          </w:tcPr>
          <w:p w14:paraId="46F37B92" w14:textId="77777777" w:rsidR="00720C33" w:rsidRPr="00720C33" w:rsidRDefault="00720C33" w:rsidP="00720C33">
            <w:pPr>
              <w:spacing w:after="0" w:line="240" w:lineRule="auto"/>
              <w:jc w:val="center"/>
              <w:rPr>
                <w:rFonts w:ascii="Calibri" w:eastAsia="Times New Roman" w:hAnsi="Calibri" w:cs="Calibri"/>
                <w:b/>
                <w:bCs/>
                <w:color w:val="FFFFFF"/>
                <w:szCs w:val="21"/>
                <w:lang w:eastAsia="cs-CZ"/>
              </w:rPr>
            </w:pPr>
            <w:r w:rsidRPr="00720C33">
              <w:rPr>
                <w:rFonts w:ascii="Calibri" w:eastAsia="Times New Roman" w:hAnsi="Calibri" w:cs="Calibri"/>
                <w:b/>
                <w:bCs/>
                <w:color w:val="FFFFFF"/>
                <w:szCs w:val="21"/>
                <w:lang w:eastAsia="cs-CZ"/>
              </w:rPr>
              <w:t>2021</w:t>
            </w:r>
          </w:p>
        </w:tc>
        <w:tc>
          <w:tcPr>
            <w:tcW w:w="1000" w:type="dxa"/>
            <w:tcBorders>
              <w:top w:val="single" w:sz="8" w:space="0" w:color="4F81BD"/>
              <w:left w:val="nil"/>
              <w:bottom w:val="nil"/>
              <w:right w:val="nil"/>
            </w:tcBorders>
            <w:shd w:val="clear" w:color="000000" w:fill="6691C6"/>
            <w:noWrap/>
            <w:hideMark/>
          </w:tcPr>
          <w:p w14:paraId="05D85DF8" w14:textId="77777777" w:rsidR="00720C33" w:rsidRPr="00720C33" w:rsidRDefault="00720C33" w:rsidP="00720C33">
            <w:pPr>
              <w:spacing w:after="0" w:line="240" w:lineRule="auto"/>
              <w:jc w:val="center"/>
              <w:rPr>
                <w:rFonts w:ascii="Calibri" w:eastAsia="Times New Roman" w:hAnsi="Calibri" w:cs="Calibri"/>
                <w:b/>
                <w:bCs/>
                <w:color w:val="FFFFFF"/>
                <w:szCs w:val="21"/>
                <w:lang w:eastAsia="cs-CZ"/>
              </w:rPr>
            </w:pPr>
            <w:r w:rsidRPr="00720C33">
              <w:rPr>
                <w:rFonts w:ascii="Calibri" w:eastAsia="Times New Roman" w:hAnsi="Calibri" w:cs="Calibri"/>
                <w:b/>
                <w:bCs/>
                <w:color w:val="FFFFFF"/>
                <w:szCs w:val="21"/>
                <w:lang w:eastAsia="cs-CZ"/>
              </w:rPr>
              <w:t>2022</w:t>
            </w:r>
          </w:p>
        </w:tc>
        <w:tc>
          <w:tcPr>
            <w:tcW w:w="1000" w:type="dxa"/>
            <w:tcBorders>
              <w:top w:val="single" w:sz="8" w:space="0" w:color="4F81BD"/>
              <w:left w:val="nil"/>
              <w:bottom w:val="nil"/>
              <w:right w:val="single" w:sz="8" w:space="0" w:color="4F81BD"/>
            </w:tcBorders>
            <w:shd w:val="clear" w:color="000000" w:fill="4F81BD"/>
            <w:hideMark/>
          </w:tcPr>
          <w:p w14:paraId="5899A2F9" w14:textId="77777777" w:rsidR="00720C33" w:rsidRPr="00720C33" w:rsidRDefault="00720C33" w:rsidP="00720C33">
            <w:pPr>
              <w:spacing w:after="0" w:line="240" w:lineRule="auto"/>
              <w:jc w:val="center"/>
              <w:rPr>
                <w:rFonts w:ascii="Calibri" w:eastAsia="Times New Roman" w:hAnsi="Calibri" w:cs="Calibri"/>
                <w:b/>
                <w:bCs/>
                <w:color w:val="FFFFFF"/>
                <w:szCs w:val="21"/>
                <w:lang w:eastAsia="cs-CZ"/>
              </w:rPr>
            </w:pPr>
            <w:r w:rsidRPr="00720C33">
              <w:rPr>
                <w:rFonts w:ascii="Calibri" w:eastAsia="Times New Roman" w:hAnsi="Calibri" w:cs="Calibri"/>
                <w:b/>
                <w:bCs/>
                <w:color w:val="FFFFFF"/>
                <w:szCs w:val="21"/>
                <w:lang w:eastAsia="cs-CZ"/>
              </w:rPr>
              <w:t>2023</w:t>
            </w:r>
          </w:p>
        </w:tc>
      </w:tr>
      <w:tr w:rsidR="00720C33" w:rsidRPr="00720C33" w14:paraId="78E44CE7" w14:textId="77777777" w:rsidTr="00720C33">
        <w:trPr>
          <w:trHeight w:val="559"/>
        </w:trPr>
        <w:tc>
          <w:tcPr>
            <w:tcW w:w="3080" w:type="dxa"/>
            <w:tcBorders>
              <w:top w:val="nil"/>
              <w:left w:val="single" w:sz="8" w:space="0" w:color="4F81BD"/>
              <w:bottom w:val="nil"/>
              <w:right w:val="nil"/>
            </w:tcBorders>
            <w:shd w:val="clear" w:color="auto" w:fill="auto"/>
            <w:vAlign w:val="bottom"/>
            <w:hideMark/>
          </w:tcPr>
          <w:p w14:paraId="4A2C44C1" w14:textId="77777777" w:rsidR="00720C33" w:rsidRPr="00720C33" w:rsidRDefault="00720C33" w:rsidP="00720C33">
            <w:pPr>
              <w:spacing w:after="0" w:line="240" w:lineRule="auto"/>
              <w:rPr>
                <w:rFonts w:ascii="Calibri" w:eastAsia="Times New Roman" w:hAnsi="Calibri" w:cs="Calibri"/>
                <w:b/>
                <w:bCs/>
                <w:color w:val="000000"/>
                <w:szCs w:val="21"/>
                <w:lang w:eastAsia="cs-CZ"/>
              </w:rPr>
            </w:pPr>
            <w:r w:rsidRPr="00720C33">
              <w:rPr>
                <w:rFonts w:ascii="Calibri" w:eastAsia="Times New Roman" w:hAnsi="Calibri" w:cs="Calibri"/>
                <w:b/>
                <w:bCs/>
                <w:color w:val="000000"/>
                <w:szCs w:val="21"/>
                <w:lang w:eastAsia="cs-CZ"/>
              </w:rPr>
              <w:t>Počet pojištěnců, kteří překročili zákonný limit</w:t>
            </w:r>
          </w:p>
        </w:tc>
        <w:tc>
          <w:tcPr>
            <w:tcW w:w="1000" w:type="dxa"/>
            <w:tcBorders>
              <w:top w:val="nil"/>
              <w:left w:val="nil"/>
              <w:bottom w:val="nil"/>
              <w:right w:val="nil"/>
            </w:tcBorders>
            <w:shd w:val="clear" w:color="000000" w:fill="DCE6F1"/>
            <w:noWrap/>
            <w:vAlign w:val="bottom"/>
            <w:hideMark/>
          </w:tcPr>
          <w:p w14:paraId="1F5682B9"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924 144</w:t>
            </w:r>
          </w:p>
        </w:tc>
        <w:tc>
          <w:tcPr>
            <w:tcW w:w="1000" w:type="dxa"/>
            <w:tcBorders>
              <w:top w:val="nil"/>
              <w:left w:val="nil"/>
              <w:bottom w:val="nil"/>
              <w:right w:val="nil"/>
            </w:tcBorders>
            <w:shd w:val="clear" w:color="auto" w:fill="auto"/>
            <w:noWrap/>
            <w:vAlign w:val="bottom"/>
            <w:hideMark/>
          </w:tcPr>
          <w:p w14:paraId="54E1A82E"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1 042 857</w:t>
            </w:r>
          </w:p>
        </w:tc>
        <w:tc>
          <w:tcPr>
            <w:tcW w:w="1000" w:type="dxa"/>
            <w:tcBorders>
              <w:top w:val="nil"/>
              <w:left w:val="nil"/>
              <w:bottom w:val="nil"/>
              <w:right w:val="nil"/>
            </w:tcBorders>
            <w:shd w:val="clear" w:color="000000" w:fill="DCE6F1"/>
            <w:noWrap/>
            <w:vAlign w:val="bottom"/>
            <w:hideMark/>
          </w:tcPr>
          <w:p w14:paraId="6FFDD6A8"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1 140 982</w:t>
            </w:r>
          </w:p>
        </w:tc>
        <w:tc>
          <w:tcPr>
            <w:tcW w:w="1000" w:type="dxa"/>
            <w:tcBorders>
              <w:top w:val="nil"/>
              <w:left w:val="nil"/>
              <w:bottom w:val="nil"/>
              <w:right w:val="nil"/>
            </w:tcBorders>
            <w:shd w:val="clear" w:color="auto" w:fill="auto"/>
            <w:noWrap/>
            <w:vAlign w:val="bottom"/>
            <w:hideMark/>
          </w:tcPr>
          <w:p w14:paraId="7820E516"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1 251 454</w:t>
            </w:r>
          </w:p>
        </w:tc>
        <w:tc>
          <w:tcPr>
            <w:tcW w:w="1000" w:type="dxa"/>
            <w:tcBorders>
              <w:top w:val="nil"/>
              <w:left w:val="nil"/>
              <w:bottom w:val="nil"/>
              <w:right w:val="nil"/>
            </w:tcBorders>
            <w:shd w:val="clear" w:color="000000" w:fill="DCE6F1"/>
            <w:noWrap/>
            <w:vAlign w:val="bottom"/>
            <w:hideMark/>
          </w:tcPr>
          <w:p w14:paraId="21017927"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1 226 276</w:t>
            </w:r>
          </w:p>
        </w:tc>
        <w:tc>
          <w:tcPr>
            <w:tcW w:w="1000" w:type="dxa"/>
            <w:tcBorders>
              <w:top w:val="nil"/>
              <w:left w:val="nil"/>
              <w:bottom w:val="nil"/>
              <w:right w:val="single" w:sz="8" w:space="0" w:color="4F81BD"/>
            </w:tcBorders>
            <w:shd w:val="clear" w:color="auto" w:fill="auto"/>
            <w:noWrap/>
            <w:vAlign w:val="bottom"/>
            <w:hideMark/>
          </w:tcPr>
          <w:p w14:paraId="50917FE5"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1 344 513</w:t>
            </w:r>
          </w:p>
        </w:tc>
      </w:tr>
      <w:tr w:rsidR="00720C33" w:rsidRPr="00720C33" w14:paraId="3DE1E0A5" w14:textId="77777777" w:rsidTr="00720C33">
        <w:trPr>
          <w:trHeight w:val="559"/>
        </w:trPr>
        <w:tc>
          <w:tcPr>
            <w:tcW w:w="3080" w:type="dxa"/>
            <w:tcBorders>
              <w:top w:val="nil"/>
              <w:left w:val="single" w:sz="8" w:space="0" w:color="4F81BD"/>
              <w:bottom w:val="nil"/>
              <w:right w:val="nil"/>
            </w:tcBorders>
            <w:shd w:val="clear" w:color="000000" w:fill="EEF3F8"/>
            <w:vAlign w:val="bottom"/>
            <w:hideMark/>
          </w:tcPr>
          <w:p w14:paraId="69673C84" w14:textId="77777777" w:rsidR="00720C33" w:rsidRPr="00720C33" w:rsidRDefault="00720C33" w:rsidP="00720C33">
            <w:pPr>
              <w:spacing w:after="0" w:line="240" w:lineRule="auto"/>
              <w:rPr>
                <w:rFonts w:ascii="Calibri" w:eastAsia="Times New Roman" w:hAnsi="Calibri" w:cs="Calibri"/>
                <w:b/>
                <w:bCs/>
                <w:color w:val="000000"/>
                <w:szCs w:val="21"/>
                <w:lang w:eastAsia="cs-CZ"/>
              </w:rPr>
            </w:pPr>
            <w:r w:rsidRPr="00720C33">
              <w:rPr>
                <w:rFonts w:ascii="Calibri" w:eastAsia="Times New Roman" w:hAnsi="Calibri" w:cs="Calibri"/>
                <w:b/>
                <w:bCs/>
                <w:color w:val="000000"/>
                <w:szCs w:val="21"/>
                <w:lang w:eastAsia="cs-CZ"/>
              </w:rPr>
              <w:t xml:space="preserve">Částka, o kterou byl překročen zákonný limit </w:t>
            </w:r>
            <w:r w:rsidRPr="00720C33">
              <w:rPr>
                <w:rFonts w:ascii="Calibri" w:eastAsia="Times New Roman" w:hAnsi="Calibri" w:cs="Calibri"/>
                <w:color w:val="000000"/>
                <w:szCs w:val="21"/>
                <w:lang w:eastAsia="cs-CZ"/>
              </w:rPr>
              <w:t>(v mil. Kč)</w:t>
            </w:r>
          </w:p>
        </w:tc>
        <w:tc>
          <w:tcPr>
            <w:tcW w:w="1000" w:type="dxa"/>
            <w:tcBorders>
              <w:top w:val="nil"/>
              <w:left w:val="nil"/>
              <w:bottom w:val="nil"/>
              <w:right w:val="nil"/>
            </w:tcBorders>
            <w:shd w:val="clear" w:color="000000" w:fill="EEF3F8"/>
            <w:noWrap/>
            <w:vAlign w:val="bottom"/>
            <w:hideMark/>
          </w:tcPr>
          <w:p w14:paraId="388984DF"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657</w:t>
            </w:r>
          </w:p>
        </w:tc>
        <w:tc>
          <w:tcPr>
            <w:tcW w:w="1000" w:type="dxa"/>
            <w:tcBorders>
              <w:top w:val="nil"/>
              <w:left w:val="nil"/>
              <w:bottom w:val="nil"/>
              <w:right w:val="nil"/>
            </w:tcBorders>
            <w:shd w:val="clear" w:color="000000" w:fill="EEF3F8"/>
            <w:noWrap/>
            <w:vAlign w:val="bottom"/>
            <w:hideMark/>
          </w:tcPr>
          <w:p w14:paraId="0EBB2E97"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776</w:t>
            </w:r>
          </w:p>
        </w:tc>
        <w:tc>
          <w:tcPr>
            <w:tcW w:w="1000" w:type="dxa"/>
            <w:tcBorders>
              <w:top w:val="nil"/>
              <w:left w:val="nil"/>
              <w:bottom w:val="nil"/>
              <w:right w:val="nil"/>
            </w:tcBorders>
            <w:shd w:val="clear" w:color="000000" w:fill="EEF3F8"/>
            <w:noWrap/>
            <w:vAlign w:val="bottom"/>
            <w:hideMark/>
          </w:tcPr>
          <w:p w14:paraId="3DF70696"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879</w:t>
            </w:r>
          </w:p>
        </w:tc>
        <w:tc>
          <w:tcPr>
            <w:tcW w:w="1000" w:type="dxa"/>
            <w:tcBorders>
              <w:top w:val="nil"/>
              <w:left w:val="nil"/>
              <w:bottom w:val="nil"/>
              <w:right w:val="nil"/>
            </w:tcBorders>
            <w:shd w:val="clear" w:color="000000" w:fill="EEF3F8"/>
            <w:noWrap/>
            <w:vAlign w:val="bottom"/>
            <w:hideMark/>
          </w:tcPr>
          <w:p w14:paraId="48C47704"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966</w:t>
            </w:r>
          </w:p>
        </w:tc>
        <w:tc>
          <w:tcPr>
            <w:tcW w:w="1000" w:type="dxa"/>
            <w:tcBorders>
              <w:top w:val="nil"/>
              <w:left w:val="nil"/>
              <w:bottom w:val="nil"/>
              <w:right w:val="nil"/>
            </w:tcBorders>
            <w:shd w:val="clear" w:color="000000" w:fill="EEF3F8"/>
            <w:noWrap/>
            <w:vAlign w:val="bottom"/>
            <w:hideMark/>
          </w:tcPr>
          <w:p w14:paraId="3416BC14"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1 102</w:t>
            </w:r>
          </w:p>
        </w:tc>
        <w:tc>
          <w:tcPr>
            <w:tcW w:w="1000" w:type="dxa"/>
            <w:tcBorders>
              <w:top w:val="nil"/>
              <w:left w:val="nil"/>
              <w:bottom w:val="nil"/>
              <w:right w:val="single" w:sz="8" w:space="0" w:color="4F81BD"/>
            </w:tcBorders>
            <w:shd w:val="clear" w:color="000000" w:fill="EEF3F8"/>
            <w:noWrap/>
            <w:vAlign w:val="bottom"/>
            <w:hideMark/>
          </w:tcPr>
          <w:p w14:paraId="673A2D1F"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1 321</w:t>
            </w:r>
          </w:p>
        </w:tc>
      </w:tr>
      <w:tr w:rsidR="00720C33" w:rsidRPr="00720C33" w14:paraId="6EB44AA4" w14:textId="77777777" w:rsidTr="00720C33">
        <w:trPr>
          <w:trHeight w:val="559"/>
        </w:trPr>
        <w:tc>
          <w:tcPr>
            <w:tcW w:w="3080" w:type="dxa"/>
            <w:tcBorders>
              <w:top w:val="nil"/>
              <w:left w:val="single" w:sz="8" w:space="0" w:color="4F81BD"/>
              <w:bottom w:val="single" w:sz="8" w:space="0" w:color="4F81BD"/>
              <w:right w:val="nil"/>
            </w:tcBorders>
            <w:shd w:val="clear" w:color="auto" w:fill="auto"/>
            <w:vAlign w:val="bottom"/>
            <w:hideMark/>
          </w:tcPr>
          <w:p w14:paraId="1D73E060" w14:textId="77777777" w:rsidR="00720C33" w:rsidRPr="00720C33" w:rsidRDefault="00720C33" w:rsidP="00720C33">
            <w:pPr>
              <w:spacing w:after="0" w:line="240" w:lineRule="auto"/>
              <w:rPr>
                <w:rFonts w:ascii="Calibri" w:eastAsia="Times New Roman" w:hAnsi="Calibri" w:cs="Calibri"/>
                <w:b/>
                <w:bCs/>
                <w:color w:val="000000"/>
                <w:szCs w:val="21"/>
                <w:lang w:eastAsia="cs-CZ"/>
              </w:rPr>
            </w:pPr>
            <w:r w:rsidRPr="00720C33">
              <w:rPr>
                <w:rFonts w:ascii="Calibri" w:eastAsia="Times New Roman" w:hAnsi="Calibri" w:cs="Calibri"/>
                <w:b/>
                <w:bCs/>
                <w:color w:val="000000"/>
                <w:szCs w:val="21"/>
                <w:lang w:eastAsia="cs-CZ"/>
              </w:rPr>
              <w:t xml:space="preserve">Částka v přepočtu na pojištěnce, který překročil zákon. limit </w:t>
            </w:r>
            <w:r w:rsidRPr="00720C33">
              <w:rPr>
                <w:rFonts w:ascii="Calibri" w:eastAsia="Times New Roman" w:hAnsi="Calibri" w:cs="Calibri"/>
                <w:color w:val="000000"/>
                <w:szCs w:val="21"/>
                <w:lang w:eastAsia="cs-CZ"/>
              </w:rPr>
              <w:t>(v Kč)</w:t>
            </w:r>
          </w:p>
        </w:tc>
        <w:tc>
          <w:tcPr>
            <w:tcW w:w="1000" w:type="dxa"/>
            <w:tcBorders>
              <w:top w:val="nil"/>
              <w:left w:val="nil"/>
              <w:bottom w:val="single" w:sz="8" w:space="0" w:color="4F81BD"/>
              <w:right w:val="nil"/>
            </w:tcBorders>
            <w:shd w:val="clear" w:color="000000" w:fill="DCE6F1"/>
            <w:noWrap/>
            <w:vAlign w:val="bottom"/>
            <w:hideMark/>
          </w:tcPr>
          <w:p w14:paraId="017392D4"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711</w:t>
            </w:r>
          </w:p>
        </w:tc>
        <w:tc>
          <w:tcPr>
            <w:tcW w:w="1000" w:type="dxa"/>
            <w:tcBorders>
              <w:top w:val="nil"/>
              <w:left w:val="nil"/>
              <w:bottom w:val="single" w:sz="8" w:space="0" w:color="4F81BD"/>
              <w:right w:val="nil"/>
            </w:tcBorders>
            <w:shd w:val="clear" w:color="auto" w:fill="auto"/>
            <w:noWrap/>
            <w:vAlign w:val="bottom"/>
            <w:hideMark/>
          </w:tcPr>
          <w:p w14:paraId="49D47B39"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744</w:t>
            </w:r>
          </w:p>
        </w:tc>
        <w:tc>
          <w:tcPr>
            <w:tcW w:w="1000" w:type="dxa"/>
            <w:tcBorders>
              <w:top w:val="nil"/>
              <w:left w:val="nil"/>
              <w:bottom w:val="single" w:sz="8" w:space="0" w:color="4F81BD"/>
              <w:right w:val="nil"/>
            </w:tcBorders>
            <w:shd w:val="clear" w:color="000000" w:fill="DCE6F1"/>
            <w:noWrap/>
            <w:vAlign w:val="bottom"/>
            <w:hideMark/>
          </w:tcPr>
          <w:p w14:paraId="778819FD"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771</w:t>
            </w:r>
          </w:p>
        </w:tc>
        <w:tc>
          <w:tcPr>
            <w:tcW w:w="1000" w:type="dxa"/>
            <w:tcBorders>
              <w:top w:val="nil"/>
              <w:left w:val="nil"/>
              <w:bottom w:val="single" w:sz="8" w:space="0" w:color="4F81BD"/>
              <w:right w:val="nil"/>
            </w:tcBorders>
            <w:shd w:val="clear" w:color="auto" w:fill="auto"/>
            <w:noWrap/>
            <w:vAlign w:val="bottom"/>
            <w:hideMark/>
          </w:tcPr>
          <w:p w14:paraId="3B59F3E0"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772</w:t>
            </w:r>
          </w:p>
        </w:tc>
        <w:tc>
          <w:tcPr>
            <w:tcW w:w="1000" w:type="dxa"/>
            <w:tcBorders>
              <w:top w:val="nil"/>
              <w:left w:val="nil"/>
              <w:bottom w:val="single" w:sz="8" w:space="0" w:color="4F81BD"/>
              <w:right w:val="nil"/>
            </w:tcBorders>
            <w:shd w:val="clear" w:color="000000" w:fill="DCE6F1"/>
            <w:noWrap/>
            <w:vAlign w:val="bottom"/>
            <w:hideMark/>
          </w:tcPr>
          <w:p w14:paraId="04EDA0AF"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899</w:t>
            </w:r>
          </w:p>
        </w:tc>
        <w:tc>
          <w:tcPr>
            <w:tcW w:w="1000" w:type="dxa"/>
            <w:tcBorders>
              <w:top w:val="nil"/>
              <w:left w:val="nil"/>
              <w:bottom w:val="single" w:sz="8" w:space="0" w:color="4F81BD"/>
              <w:right w:val="single" w:sz="8" w:space="0" w:color="4F81BD"/>
            </w:tcBorders>
            <w:shd w:val="clear" w:color="auto" w:fill="auto"/>
            <w:noWrap/>
            <w:vAlign w:val="bottom"/>
            <w:hideMark/>
          </w:tcPr>
          <w:p w14:paraId="2B3A17EB" w14:textId="77777777" w:rsidR="00720C33" w:rsidRPr="00720C33" w:rsidRDefault="00720C33" w:rsidP="00720C33">
            <w:pPr>
              <w:spacing w:after="0" w:line="240" w:lineRule="auto"/>
              <w:jc w:val="right"/>
              <w:rPr>
                <w:rFonts w:ascii="Calibri" w:eastAsia="Times New Roman" w:hAnsi="Calibri" w:cs="Calibri"/>
                <w:color w:val="000000"/>
                <w:szCs w:val="21"/>
                <w:lang w:eastAsia="cs-CZ"/>
              </w:rPr>
            </w:pPr>
            <w:r w:rsidRPr="00720C33">
              <w:rPr>
                <w:rFonts w:ascii="Calibri" w:eastAsia="Times New Roman" w:hAnsi="Calibri" w:cs="Calibri"/>
                <w:color w:val="000000"/>
                <w:szCs w:val="21"/>
                <w:lang w:eastAsia="cs-CZ"/>
              </w:rPr>
              <w:t>983</w:t>
            </w:r>
          </w:p>
        </w:tc>
      </w:tr>
    </w:tbl>
    <w:p w14:paraId="205FDE8F" w14:textId="77777777" w:rsidR="00720C33" w:rsidRPr="008C1EAB" w:rsidRDefault="00720C33" w:rsidP="004F12DF">
      <w:pPr>
        <w:rPr>
          <w:highlight w:val="yellow"/>
          <w:lang w:bidi="hi-IN"/>
        </w:rPr>
      </w:pPr>
    </w:p>
    <w:p w14:paraId="2C8425AC" w14:textId="77777777" w:rsidR="00146C88" w:rsidRPr="008C1EAB" w:rsidRDefault="00146C88" w:rsidP="00146C88">
      <w:pPr>
        <w:rPr>
          <w:highlight w:val="yellow"/>
          <w:lang w:bidi="hi-IN"/>
        </w:rPr>
      </w:pPr>
      <w:r w:rsidRPr="008C1EAB">
        <w:rPr>
          <w:highlight w:val="yellow"/>
          <w:lang w:bidi="hi-IN"/>
        </w:rPr>
        <w:br w:type="page"/>
      </w:r>
    </w:p>
    <w:p w14:paraId="64A60BED" w14:textId="77777777" w:rsidR="00436F6E" w:rsidRPr="00D51055" w:rsidRDefault="00436F6E" w:rsidP="007327D1">
      <w:pPr>
        <w:pStyle w:val="Nadpis2"/>
      </w:pPr>
      <w:bookmarkStart w:id="62" w:name="_Toc169176581"/>
      <w:r w:rsidRPr="00D51055">
        <w:t>Náklady na léčení zahraničních pojištěnců</w:t>
      </w:r>
      <w:bookmarkEnd w:id="62"/>
    </w:p>
    <w:p w14:paraId="51247823" w14:textId="7FFBC1A9" w:rsidR="00086197" w:rsidRPr="0026471E" w:rsidRDefault="00086197" w:rsidP="0021299E">
      <w:pPr>
        <w:pStyle w:val="TEXTpodTABOBR"/>
        <w:spacing w:before="180" w:after="180" w:line="276" w:lineRule="auto"/>
        <w:ind w:firstLine="0"/>
        <w:rPr>
          <w:rFonts w:asciiTheme="minorHAnsi" w:hAnsiTheme="minorHAnsi" w:cstheme="minorHAnsi"/>
          <w:sz w:val="21"/>
          <w:szCs w:val="21"/>
        </w:rPr>
      </w:pPr>
      <w:r w:rsidRPr="00D51055">
        <w:rPr>
          <w:rFonts w:asciiTheme="minorHAnsi" w:hAnsiTheme="minorHAnsi" w:cstheme="minorHAnsi"/>
          <w:b/>
          <w:sz w:val="21"/>
          <w:szCs w:val="21"/>
        </w:rPr>
        <w:t xml:space="preserve">Zvláštní kategorii nákladů tvoří náklady na léčení pojištěnců jiných členských států EU, EHP, Švýcarské konfederace, popřípadě dalších států, se kterými ČR uzavřela mezinárodní smlouvu o sociálním zabezpečení v ČR </w:t>
      </w:r>
      <w:r w:rsidRPr="00D51055">
        <w:rPr>
          <w:rFonts w:asciiTheme="minorHAnsi" w:hAnsiTheme="minorHAnsi" w:cstheme="minorHAnsi"/>
          <w:sz w:val="21"/>
          <w:szCs w:val="21"/>
        </w:rPr>
        <w:t xml:space="preserve">(dále jen </w:t>
      </w:r>
      <w:r w:rsidR="00CC063E" w:rsidRPr="00D51055">
        <w:rPr>
          <w:rFonts w:asciiTheme="minorHAnsi" w:hAnsiTheme="minorHAnsi" w:cstheme="minorHAnsi"/>
          <w:sz w:val="21"/>
          <w:szCs w:val="21"/>
        </w:rPr>
        <w:t>„</w:t>
      </w:r>
      <w:r w:rsidRPr="00D51055">
        <w:rPr>
          <w:rFonts w:asciiTheme="minorHAnsi" w:hAnsiTheme="minorHAnsi" w:cstheme="minorHAnsi"/>
          <w:sz w:val="21"/>
          <w:szCs w:val="21"/>
        </w:rPr>
        <w:t>zahraniční pojištěnci</w:t>
      </w:r>
      <w:r w:rsidR="00CC063E" w:rsidRPr="00D51055">
        <w:rPr>
          <w:rFonts w:asciiTheme="minorHAnsi" w:hAnsiTheme="minorHAnsi" w:cstheme="minorHAnsi"/>
          <w:sz w:val="21"/>
          <w:szCs w:val="21"/>
        </w:rPr>
        <w:t>“</w:t>
      </w:r>
      <w:r w:rsidRPr="00D51055">
        <w:rPr>
          <w:rFonts w:asciiTheme="minorHAnsi" w:hAnsiTheme="minorHAnsi" w:cstheme="minorHAnsi"/>
          <w:sz w:val="21"/>
          <w:szCs w:val="21"/>
        </w:rPr>
        <w:t>).</w:t>
      </w:r>
      <w:r w:rsidRPr="00D51055">
        <w:rPr>
          <w:rFonts w:asciiTheme="minorHAnsi" w:hAnsiTheme="minorHAnsi" w:cstheme="minorHAnsi"/>
          <w:b/>
          <w:sz w:val="21"/>
          <w:szCs w:val="21"/>
        </w:rPr>
        <w:t xml:space="preserve"> </w:t>
      </w:r>
      <w:r w:rsidRPr="00D51055">
        <w:rPr>
          <w:rFonts w:asciiTheme="minorHAnsi" w:hAnsiTheme="minorHAnsi" w:cstheme="minorHAnsi"/>
          <w:sz w:val="21"/>
          <w:szCs w:val="21"/>
        </w:rPr>
        <w:t>Jedná se o náklady za ošetření zahraničních pojištěnců na našem území, kteří</w:t>
      </w:r>
      <w:r w:rsidR="003D5AD1" w:rsidRPr="00D51055">
        <w:rPr>
          <w:rFonts w:asciiTheme="minorHAnsi" w:hAnsiTheme="minorHAnsi" w:cstheme="minorHAnsi"/>
          <w:sz w:val="21"/>
          <w:szCs w:val="21"/>
        </w:rPr>
        <w:t> </w:t>
      </w:r>
      <w:r w:rsidRPr="00D51055">
        <w:rPr>
          <w:rFonts w:asciiTheme="minorHAnsi" w:hAnsiTheme="minorHAnsi" w:cstheme="minorHAnsi"/>
          <w:sz w:val="21"/>
          <w:szCs w:val="21"/>
        </w:rPr>
        <w:t>si v souladu se zákonem č. 48/1997 Sb. zvolili některou ze sedmi ZP jako „výpomocnou ZP“. Náklady na</w:t>
      </w:r>
      <w:r w:rsidR="006E1006" w:rsidRPr="00D51055">
        <w:rPr>
          <w:rFonts w:asciiTheme="minorHAnsi" w:hAnsiTheme="minorHAnsi" w:cstheme="minorHAnsi"/>
          <w:sz w:val="21"/>
          <w:szCs w:val="21"/>
        </w:rPr>
        <w:t> </w:t>
      </w:r>
      <w:r w:rsidRPr="00D51055">
        <w:rPr>
          <w:rFonts w:asciiTheme="minorHAnsi" w:hAnsiTheme="minorHAnsi" w:cstheme="minorHAnsi"/>
          <w:sz w:val="21"/>
          <w:szCs w:val="21"/>
        </w:rPr>
        <w:t xml:space="preserve">léčení zahraničních pojištěnců </w:t>
      </w:r>
      <w:r w:rsidRPr="0026471E">
        <w:rPr>
          <w:rFonts w:asciiTheme="minorHAnsi" w:hAnsiTheme="minorHAnsi" w:cstheme="minorHAnsi"/>
          <w:sz w:val="21"/>
          <w:szCs w:val="21"/>
        </w:rPr>
        <w:t xml:space="preserve">činily </w:t>
      </w:r>
      <w:r w:rsidR="00797DD7" w:rsidRPr="0026471E">
        <w:rPr>
          <w:rFonts w:asciiTheme="minorHAnsi" w:hAnsiTheme="minorHAnsi" w:cstheme="minorHAnsi"/>
          <w:sz w:val="21"/>
          <w:szCs w:val="21"/>
        </w:rPr>
        <w:t>3</w:t>
      </w:r>
      <w:r w:rsidRPr="0026471E">
        <w:rPr>
          <w:rFonts w:asciiTheme="minorHAnsi" w:hAnsiTheme="minorHAnsi" w:cstheme="minorHAnsi"/>
          <w:sz w:val="21"/>
          <w:szCs w:val="21"/>
        </w:rPr>
        <w:t>,</w:t>
      </w:r>
      <w:r w:rsidR="00797DD7" w:rsidRPr="0026471E">
        <w:rPr>
          <w:rFonts w:asciiTheme="minorHAnsi" w:hAnsiTheme="minorHAnsi" w:cstheme="minorHAnsi"/>
          <w:sz w:val="21"/>
          <w:szCs w:val="21"/>
        </w:rPr>
        <w:t>001</w:t>
      </w:r>
      <w:r w:rsidRPr="0026471E">
        <w:rPr>
          <w:rFonts w:asciiTheme="minorHAnsi" w:hAnsiTheme="minorHAnsi" w:cstheme="minorHAnsi"/>
          <w:sz w:val="21"/>
          <w:szCs w:val="21"/>
        </w:rPr>
        <w:t xml:space="preserve"> mld. Kč a oproti loňskému roku se jedná o </w:t>
      </w:r>
      <w:r w:rsidR="009F645B" w:rsidRPr="0026471E">
        <w:rPr>
          <w:rFonts w:asciiTheme="minorHAnsi" w:hAnsiTheme="minorHAnsi" w:cstheme="minorHAnsi"/>
          <w:sz w:val="21"/>
          <w:szCs w:val="21"/>
        </w:rPr>
        <w:t>nárůst</w:t>
      </w:r>
      <w:r w:rsidRPr="0026471E">
        <w:rPr>
          <w:rFonts w:asciiTheme="minorHAnsi" w:hAnsiTheme="minorHAnsi" w:cstheme="minorHAnsi"/>
          <w:sz w:val="21"/>
          <w:szCs w:val="21"/>
        </w:rPr>
        <w:t xml:space="preserve"> o </w:t>
      </w:r>
      <w:r w:rsidR="00797DD7" w:rsidRPr="0026471E">
        <w:rPr>
          <w:rFonts w:asciiTheme="minorHAnsi" w:hAnsiTheme="minorHAnsi" w:cstheme="minorHAnsi"/>
          <w:sz w:val="21"/>
          <w:szCs w:val="21"/>
        </w:rPr>
        <w:t>21</w:t>
      </w:r>
      <w:r w:rsidR="004E228B" w:rsidRPr="0026471E">
        <w:rPr>
          <w:rFonts w:asciiTheme="minorHAnsi" w:hAnsiTheme="minorHAnsi" w:cstheme="minorHAnsi"/>
          <w:sz w:val="21"/>
          <w:szCs w:val="21"/>
        </w:rPr>
        <w:t>,</w:t>
      </w:r>
      <w:r w:rsidR="00797DD7" w:rsidRPr="0026471E">
        <w:rPr>
          <w:rFonts w:asciiTheme="minorHAnsi" w:hAnsiTheme="minorHAnsi" w:cstheme="minorHAnsi"/>
          <w:sz w:val="21"/>
          <w:szCs w:val="21"/>
        </w:rPr>
        <w:t>2</w:t>
      </w:r>
      <w:r w:rsidRPr="0026471E">
        <w:rPr>
          <w:rFonts w:asciiTheme="minorHAnsi" w:hAnsiTheme="minorHAnsi" w:cstheme="minorHAnsi"/>
          <w:sz w:val="21"/>
          <w:szCs w:val="21"/>
        </w:rPr>
        <w:t xml:space="preserve"> %. Při</w:t>
      </w:r>
      <w:r w:rsidR="006E1006" w:rsidRPr="0026471E">
        <w:rPr>
          <w:rFonts w:asciiTheme="minorHAnsi" w:hAnsiTheme="minorHAnsi" w:cstheme="minorHAnsi"/>
          <w:sz w:val="21"/>
          <w:szCs w:val="21"/>
        </w:rPr>
        <w:t> </w:t>
      </w:r>
      <w:r w:rsidR="00660834" w:rsidRPr="0026471E">
        <w:rPr>
          <w:rFonts w:asciiTheme="minorHAnsi" w:hAnsiTheme="minorHAnsi" w:cstheme="minorHAnsi"/>
          <w:sz w:val="21"/>
          <w:szCs w:val="21"/>
        </w:rPr>
        <w:t xml:space="preserve">zvýšení </w:t>
      </w:r>
      <w:r w:rsidRPr="0026471E">
        <w:rPr>
          <w:rFonts w:asciiTheme="minorHAnsi" w:hAnsiTheme="minorHAnsi" w:cstheme="minorHAnsi"/>
          <w:sz w:val="21"/>
          <w:szCs w:val="21"/>
        </w:rPr>
        <w:t xml:space="preserve">počtu ošetřených cizinců o </w:t>
      </w:r>
      <w:r w:rsidR="00797DD7" w:rsidRPr="0026471E">
        <w:rPr>
          <w:rFonts w:asciiTheme="minorHAnsi" w:hAnsiTheme="minorHAnsi" w:cstheme="minorHAnsi"/>
          <w:sz w:val="21"/>
          <w:szCs w:val="21"/>
        </w:rPr>
        <w:t>21</w:t>
      </w:r>
      <w:r w:rsidR="009F645B" w:rsidRPr="0026471E">
        <w:rPr>
          <w:rFonts w:asciiTheme="minorHAnsi" w:hAnsiTheme="minorHAnsi" w:cstheme="minorHAnsi"/>
          <w:sz w:val="21"/>
          <w:szCs w:val="21"/>
        </w:rPr>
        <w:t>,</w:t>
      </w:r>
      <w:r w:rsidR="00797DD7" w:rsidRPr="0026471E">
        <w:rPr>
          <w:rFonts w:asciiTheme="minorHAnsi" w:hAnsiTheme="minorHAnsi" w:cstheme="minorHAnsi"/>
          <w:sz w:val="21"/>
          <w:szCs w:val="21"/>
        </w:rPr>
        <w:t>2</w:t>
      </w:r>
      <w:r w:rsidRPr="0026471E">
        <w:rPr>
          <w:rFonts w:asciiTheme="minorHAnsi" w:hAnsiTheme="minorHAnsi" w:cstheme="minorHAnsi"/>
          <w:sz w:val="21"/>
          <w:szCs w:val="21"/>
        </w:rPr>
        <w:t xml:space="preserve"> % je průměrný náklad na jednoho ošetřeného cizince ve výši </w:t>
      </w:r>
      <w:r w:rsidR="009F645B" w:rsidRPr="0026471E">
        <w:rPr>
          <w:rFonts w:asciiTheme="minorHAnsi" w:hAnsiTheme="minorHAnsi" w:cstheme="minorHAnsi"/>
          <w:sz w:val="21"/>
          <w:szCs w:val="21"/>
        </w:rPr>
        <w:t>6</w:t>
      </w:r>
      <w:r w:rsidR="00F649D2" w:rsidRPr="0026471E">
        <w:rPr>
          <w:rFonts w:asciiTheme="minorHAnsi" w:hAnsiTheme="minorHAnsi" w:cstheme="minorHAnsi"/>
          <w:sz w:val="21"/>
          <w:szCs w:val="21"/>
        </w:rPr>
        <w:t> </w:t>
      </w:r>
      <w:r w:rsidR="009F645B" w:rsidRPr="0026471E">
        <w:rPr>
          <w:rFonts w:asciiTheme="minorHAnsi" w:hAnsiTheme="minorHAnsi" w:cstheme="minorHAnsi"/>
          <w:sz w:val="21"/>
          <w:szCs w:val="21"/>
        </w:rPr>
        <w:t>66</w:t>
      </w:r>
      <w:r w:rsidR="00797DD7" w:rsidRPr="0026471E">
        <w:rPr>
          <w:rFonts w:asciiTheme="minorHAnsi" w:hAnsiTheme="minorHAnsi" w:cstheme="minorHAnsi"/>
          <w:sz w:val="21"/>
          <w:szCs w:val="21"/>
        </w:rPr>
        <w:t>6</w:t>
      </w:r>
      <w:r w:rsidRPr="0026471E">
        <w:rPr>
          <w:rFonts w:asciiTheme="minorHAnsi" w:hAnsiTheme="minorHAnsi" w:cstheme="minorHAnsi"/>
          <w:sz w:val="21"/>
          <w:szCs w:val="21"/>
        </w:rPr>
        <w:t xml:space="preserve"> Kč </w:t>
      </w:r>
      <w:r w:rsidR="007140DB" w:rsidRPr="0026471E">
        <w:rPr>
          <w:rFonts w:asciiTheme="minorHAnsi" w:hAnsiTheme="minorHAnsi" w:cstheme="minorHAnsi"/>
          <w:sz w:val="21"/>
          <w:szCs w:val="21"/>
        </w:rPr>
        <w:t>s</w:t>
      </w:r>
      <w:r w:rsidR="005A6578">
        <w:rPr>
          <w:rFonts w:asciiTheme="minorHAnsi" w:hAnsiTheme="minorHAnsi" w:cstheme="minorHAnsi"/>
          <w:sz w:val="21"/>
          <w:szCs w:val="21"/>
        </w:rPr>
        <w:t xml:space="preserve"> téměř</w:t>
      </w:r>
      <w:r w:rsidR="00797DD7" w:rsidRPr="0026471E">
        <w:rPr>
          <w:rFonts w:asciiTheme="minorHAnsi" w:hAnsiTheme="minorHAnsi" w:cstheme="minorHAnsi"/>
          <w:sz w:val="21"/>
          <w:szCs w:val="21"/>
        </w:rPr>
        <w:t xml:space="preserve"> nulovým </w:t>
      </w:r>
      <w:r w:rsidRPr="0026471E">
        <w:rPr>
          <w:rFonts w:asciiTheme="minorHAnsi" w:hAnsiTheme="minorHAnsi" w:cstheme="minorHAnsi"/>
          <w:sz w:val="21"/>
          <w:szCs w:val="21"/>
        </w:rPr>
        <w:t xml:space="preserve">meziročním </w:t>
      </w:r>
      <w:r w:rsidR="009F645B" w:rsidRPr="0026471E">
        <w:rPr>
          <w:rFonts w:asciiTheme="minorHAnsi" w:hAnsiTheme="minorHAnsi" w:cstheme="minorHAnsi"/>
          <w:sz w:val="21"/>
          <w:szCs w:val="21"/>
        </w:rPr>
        <w:t>nárůstem</w:t>
      </w:r>
      <w:r w:rsidRPr="0026471E">
        <w:rPr>
          <w:rFonts w:asciiTheme="minorHAnsi" w:hAnsiTheme="minorHAnsi" w:cstheme="minorHAnsi"/>
          <w:sz w:val="21"/>
          <w:szCs w:val="21"/>
        </w:rPr>
        <w:t>. Oproti ZPP 20</w:t>
      </w:r>
      <w:r w:rsidR="00D53F54" w:rsidRPr="0026471E">
        <w:rPr>
          <w:rFonts w:asciiTheme="minorHAnsi" w:hAnsiTheme="minorHAnsi" w:cstheme="minorHAnsi"/>
          <w:sz w:val="21"/>
          <w:szCs w:val="21"/>
        </w:rPr>
        <w:t>2</w:t>
      </w:r>
      <w:r w:rsidR="00797DD7" w:rsidRPr="0026471E">
        <w:rPr>
          <w:rFonts w:asciiTheme="minorHAnsi" w:hAnsiTheme="minorHAnsi" w:cstheme="minorHAnsi"/>
          <w:sz w:val="21"/>
          <w:szCs w:val="21"/>
        </w:rPr>
        <w:t>3</w:t>
      </w:r>
      <w:r w:rsidRPr="0026471E">
        <w:rPr>
          <w:rFonts w:asciiTheme="minorHAnsi" w:hAnsiTheme="minorHAnsi" w:cstheme="minorHAnsi"/>
          <w:sz w:val="21"/>
          <w:szCs w:val="21"/>
        </w:rPr>
        <w:t xml:space="preserve"> </w:t>
      </w:r>
      <w:r w:rsidR="00D53F54" w:rsidRPr="0026471E">
        <w:rPr>
          <w:rFonts w:asciiTheme="minorHAnsi" w:hAnsiTheme="minorHAnsi" w:cstheme="minorHAnsi"/>
          <w:sz w:val="21"/>
          <w:szCs w:val="21"/>
        </w:rPr>
        <w:t xml:space="preserve">jsou </w:t>
      </w:r>
      <w:r w:rsidRPr="0026471E">
        <w:rPr>
          <w:rFonts w:asciiTheme="minorHAnsi" w:hAnsiTheme="minorHAnsi" w:cstheme="minorHAnsi"/>
          <w:sz w:val="21"/>
          <w:szCs w:val="21"/>
        </w:rPr>
        <w:t xml:space="preserve">náklady na léčení cizinců </w:t>
      </w:r>
      <w:r w:rsidR="009F645B" w:rsidRPr="0026471E">
        <w:rPr>
          <w:rFonts w:asciiTheme="minorHAnsi" w:hAnsiTheme="minorHAnsi" w:cstheme="minorHAnsi"/>
          <w:sz w:val="21"/>
          <w:szCs w:val="21"/>
        </w:rPr>
        <w:t>vyšší</w:t>
      </w:r>
      <w:r w:rsidR="00D53F54" w:rsidRPr="0026471E">
        <w:rPr>
          <w:rFonts w:asciiTheme="minorHAnsi" w:hAnsiTheme="minorHAnsi" w:cstheme="minorHAnsi"/>
          <w:sz w:val="21"/>
          <w:szCs w:val="21"/>
        </w:rPr>
        <w:t xml:space="preserve"> </w:t>
      </w:r>
      <w:r w:rsidRPr="0026471E">
        <w:rPr>
          <w:rFonts w:asciiTheme="minorHAnsi" w:eastAsia="SimSun" w:hAnsiTheme="minorHAnsi" w:cstheme="minorHAnsi"/>
          <w:sz w:val="21"/>
          <w:szCs w:val="21"/>
        </w:rPr>
        <w:t>o</w:t>
      </w:r>
      <w:r w:rsidRPr="0026471E">
        <w:rPr>
          <w:rFonts w:asciiTheme="minorHAnsi" w:hAnsiTheme="minorHAnsi" w:cstheme="minorHAnsi"/>
          <w:sz w:val="21"/>
          <w:szCs w:val="21"/>
        </w:rPr>
        <w:t xml:space="preserve"> </w:t>
      </w:r>
      <w:r w:rsidR="00797DD7" w:rsidRPr="0026471E">
        <w:rPr>
          <w:rFonts w:asciiTheme="minorHAnsi" w:hAnsiTheme="minorHAnsi" w:cstheme="minorHAnsi"/>
          <w:sz w:val="21"/>
          <w:szCs w:val="21"/>
        </w:rPr>
        <w:t>12</w:t>
      </w:r>
      <w:r w:rsidR="00D53F54" w:rsidRPr="0026471E">
        <w:rPr>
          <w:rFonts w:asciiTheme="minorHAnsi" w:hAnsiTheme="minorHAnsi" w:cstheme="minorHAnsi"/>
          <w:sz w:val="21"/>
          <w:szCs w:val="21"/>
        </w:rPr>
        <w:t>,</w:t>
      </w:r>
      <w:r w:rsidR="00797DD7" w:rsidRPr="0026471E">
        <w:rPr>
          <w:rFonts w:asciiTheme="minorHAnsi" w:hAnsiTheme="minorHAnsi" w:cstheme="minorHAnsi"/>
          <w:sz w:val="21"/>
          <w:szCs w:val="21"/>
        </w:rPr>
        <w:t>4</w:t>
      </w:r>
      <w:r w:rsidRPr="0026471E">
        <w:rPr>
          <w:rFonts w:asciiTheme="minorHAnsi" w:hAnsiTheme="minorHAnsi" w:cstheme="minorHAnsi"/>
          <w:sz w:val="21"/>
          <w:szCs w:val="21"/>
        </w:rPr>
        <w:t xml:space="preserve"> %.</w:t>
      </w:r>
    </w:p>
    <w:p w14:paraId="051E1F80" w14:textId="65AB45FB" w:rsidR="00C737BA" w:rsidRPr="003C343E" w:rsidRDefault="00086197" w:rsidP="00C737BA">
      <w:pPr>
        <w:pStyle w:val="TEXT"/>
        <w:spacing w:before="180" w:after="180" w:line="276" w:lineRule="auto"/>
        <w:ind w:firstLine="0"/>
        <w:rPr>
          <w:rFonts w:asciiTheme="minorHAnsi" w:hAnsiTheme="minorHAnsi" w:cstheme="minorHAnsi"/>
          <w:sz w:val="21"/>
          <w:szCs w:val="21"/>
        </w:rPr>
      </w:pPr>
      <w:r w:rsidRPr="003C343E">
        <w:rPr>
          <w:rFonts w:asciiTheme="minorHAnsi" w:hAnsiTheme="minorHAnsi" w:cstheme="minorHAnsi"/>
          <w:sz w:val="21"/>
          <w:szCs w:val="21"/>
        </w:rPr>
        <w:t>Jednotlivé ZP uhradily závazky za zahraniční pojištěnce z BÚ ZFZP a částky za poskytnutou zdravotní péči si</w:t>
      </w:r>
      <w:r w:rsidR="003D5AD1" w:rsidRPr="003C343E">
        <w:rPr>
          <w:rFonts w:asciiTheme="minorHAnsi" w:hAnsiTheme="minorHAnsi" w:cstheme="minorHAnsi"/>
          <w:sz w:val="21"/>
          <w:szCs w:val="21"/>
        </w:rPr>
        <w:t> </w:t>
      </w:r>
      <w:r w:rsidRPr="003C343E">
        <w:rPr>
          <w:rFonts w:asciiTheme="minorHAnsi" w:hAnsiTheme="minorHAnsi" w:cstheme="minorHAnsi"/>
          <w:sz w:val="21"/>
          <w:szCs w:val="21"/>
        </w:rPr>
        <w:t xml:space="preserve">nárokovaly prostřednictvím Kanceláře </w:t>
      </w:r>
      <w:r w:rsidRPr="003C343E">
        <w:rPr>
          <w:rFonts w:asciiTheme="minorHAnsi" w:eastAsia="SimSun" w:hAnsiTheme="minorHAnsi" w:cstheme="minorHAnsi"/>
          <w:sz w:val="21"/>
          <w:szCs w:val="21"/>
        </w:rPr>
        <w:t>zdravotního pojištění</w:t>
      </w:r>
      <w:r w:rsidRPr="003C343E">
        <w:rPr>
          <w:rFonts w:asciiTheme="minorHAnsi" w:hAnsiTheme="minorHAnsi" w:cstheme="minorHAnsi"/>
          <w:sz w:val="21"/>
          <w:szCs w:val="21"/>
        </w:rPr>
        <w:t xml:space="preserve"> u zahraničních zdravotních pojišťoven, které provedly příslušnou úhradu. </w:t>
      </w:r>
      <w:r w:rsidRPr="003C343E">
        <w:rPr>
          <w:rFonts w:asciiTheme="minorHAnsi" w:eastAsia="Calibri" w:hAnsiTheme="minorHAnsi" w:cstheme="minorHAnsi"/>
          <w:sz w:val="21"/>
          <w:szCs w:val="21"/>
          <w:lang w:eastAsia="en-US"/>
        </w:rPr>
        <w:t>P</w:t>
      </w:r>
      <w:r w:rsidRPr="003C343E">
        <w:rPr>
          <w:rFonts w:asciiTheme="minorHAnsi" w:hAnsiTheme="minorHAnsi" w:cstheme="minorHAnsi"/>
          <w:sz w:val="21"/>
          <w:szCs w:val="21"/>
        </w:rPr>
        <w:t xml:space="preserve">růměrné náklady na jednoho ošetřeného cizince </w:t>
      </w:r>
      <w:r w:rsidR="003C343E" w:rsidRPr="003C343E">
        <w:rPr>
          <w:rFonts w:asciiTheme="minorHAnsi" w:hAnsiTheme="minorHAnsi" w:cstheme="minorHAnsi"/>
          <w:sz w:val="21"/>
          <w:szCs w:val="21"/>
        </w:rPr>
        <w:t>zůstávají dlouhodobě</w:t>
      </w:r>
      <w:r w:rsidR="00C737BA" w:rsidRPr="003C343E">
        <w:rPr>
          <w:rFonts w:asciiTheme="minorHAnsi" w:hAnsiTheme="minorHAnsi" w:cstheme="minorHAnsi"/>
          <w:sz w:val="21"/>
          <w:szCs w:val="21"/>
        </w:rPr>
        <w:t xml:space="preserve"> na </w:t>
      </w:r>
      <w:r w:rsidR="003C343E" w:rsidRPr="003C343E">
        <w:rPr>
          <w:rFonts w:asciiTheme="minorHAnsi" w:hAnsiTheme="minorHAnsi" w:cstheme="minorHAnsi"/>
          <w:sz w:val="21"/>
          <w:szCs w:val="21"/>
        </w:rPr>
        <w:t xml:space="preserve">srovnatelné </w:t>
      </w:r>
      <w:r w:rsidR="00C1043C" w:rsidRPr="003C343E">
        <w:rPr>
          <w:rFonts w:asciiTheme="minorHAnsi" w:hAnsiTheme="minorHAnsi" w:cstheme="minorHAnsi"/>
          <w:sz w:val="21"/>
          <w:szCs w:val="21"/>
        </w:rPr>
        <w:t>úrov</w:t>
      </w:r>
      <w:r w:rsidR="003C343E" w:rsidRPr="003C343E">
        <w:rPr>
          <w:rFonts w:asciiTheme="minorHAnsi" w:hAnsiTheme="minorHAnsi" w:cstheme="minorHAnsi"/>
          <w:sz w:val="21"/>
          <w:szCs w:val="21"/>
        </w:rPr>
        <w:t>ni</w:t>
      </w:r>
      <w:r w:rsidR="00252624">
        <w:rPr>
          <w:rFonts w:asciiTheme="minorHAnsi" w:hAnsiTheme="minorHAnsi" w:cstheme="minorHAnsi"/>
          <w:sz w:val="21"/>
          <w:szCs w:val="21"/>
        </w:rPr>
        <w:t xml:space="preserve"> </w:t>
      </w:r>
      <w:r w:rsidR="00C737BA" w:rsidRPr="003C343E">
        <w:rPr>
          <w:rFonts w:asciiTheme="minorHAnsi" w:hAnsiTheme="minorHAnsi" w:cstheme="minorHAnsi"/>
          <w:sz w:val="21"/>
          <w:szCs w:val="21"/>
        </w:rPr>
        <w:t>(</w:t>
      </w:r>
      <w:r w:rsidR="00C737BA" w:rsidRPr="003C343E">
        <w:rPr>
          <w:rFonts w:asciiTheme="minorHAnsi" w:hAnsiTheme="minorHAnsi" w:cstheme="minorHAnsi"/>
          <w:i/>
          <w:sz w:val="21"/>
          <w:szCs w:val="21"/>
        </w:rPr>
        <w:t>Tabulka č. 14</w:t>
      </w:r>
      <w:r w:rsidR="00C737BA" w:rsidRPr="003C343E">
        <w:rPr>
          <w:rFonts w:asciiTheme="minorHAnsi" w:hAnsiTheme="minorHAnsi" w:cstheme="minorHAnsi"/>
          <w:sz w:val="21"/>
          <w:szCs w:val="21"/>
        </w:rPr>
        <w:t xml:space="preserve">). </w:t>
      </w:r>
    </w:p>
    <w:p w14:paraId="48811987" w14:textId="4E5E934C" w:rsidR="0002268B" w:rsidRPr="00F13DAB" w:rsidRDefault="00086197" w:rsidP="0002268B">
      <w:pPr>
        <w:pStyle w:val="TEXT"/>
        <w:spacing w:before="180" w:after="180" w:line="276" w:lineRule="auto"/>
        <w:ind w:firstLine="0"/>
        <w:rPr>
          <w:rFonts w:asciiTheme="minorHAnsi" w:eastAsia="SimSun" w:hAnsiTheme="minorHAnsi" w:cstheme="minorHAnsi"/>
          <w:sz w:val="21"/>
          <w:szCs w:val="21"/>
        </w:rPr>
      </w:pPr>
      <w:r w:rsidRPr="00F13DAB">
        <w:rPr>
          <w:rFonts w:asciiTheme="minorHAnsi" w:hAnsiTheme="minorHAnsi" w:cstheme="minorHAnsi"/>
          <w:sz w:val="21"/>
          <w:szCs w:val="21"/>
        </w:rPr>
        <w:t xml:space="preserve">Na ZFZP bylo přijato od zahraničních pojišťoven za léčení cizinců (včetně plateb vypořádaných tzv. paušálem) </w:t>
      </w:r>
      <w:r w:rsidR="00F13DAB" w:rsidRPr="00F13DAB">
        <w:rPr>
          <w:rFonts w:asciiTheme="minorHAnsi" w:hAnsiTheme="minorHAnsi" w:cstheme="minorHAnsi"/>
          <w:sz w:val="21"/>
          <w:szCs w:val="21"/>
        </w:rPr>
        <w:t>2</w:t>
      </w:r>
      <w:r w:rsidRPr="00F13DAB">
        <w:rPr>
          <w:rFonts w:asciiTheme="minorHAnsi" w:hAnsiTheme="minorHAnsi" w:cstheme="minorHAnsi"/>
          <w:sz w:val="21"/>
          <w:szCs w:val="21"/>
        </w:rPr>
        <w:t>,</w:t>
      </w:r>
      <w:r w:rsidR="00F13DAB" w:rsidRPr="00F13DAB">
        <w:rPr>
          <w:rFonts w:asciiTheme="minorHAnsi" w:hAnsiTheme="minorHAnsi" w:cstheme="minorHAnsi"/>
          <w:sz w:val="21"/>
          <w:szCs w:val="21"/>
        </w:rPr>
        <w:t>201</w:t>
      </w:r>
      <w:r w:rsidR="00C1043C" w:rsidRPr="00F13DAB">
        <w:rPr>
          <w:rFonts w:asciiTheme="minorHAnsi" w:hAnsiTheme="minorHAnsi" w:cstheme="minorHAnsi"/>
          <w:sz w:val="21"/>
          <w:szCs w:val="21"/>
        </w:rPr>
        <w:t> </w:t>
      </w:r>
      <w:r w:rsidRPr="00F13DAB">
        <w:rPr>
          <w:rFonts w:asciiTheme="minorHAnsi" w:hAnsiTheme="minorHAnsi" w:cstheme="minorHAnsi"/>
          <w:sz w:val="21"/>
          <w:szCs w:val="21"/>
        </w:rPr>
        <w:t>mld. Kč,</w:t>
      </w:r>
      <w:r w:rsidRPr="00F13DAB">
        <w:rPr>
          <w:rFonts w:asciiTheme="minorHAnsi" w:hAnsiTheme="minorHAnsi" w:cstheme="minorHAnsi"/>
          <w:smallCaps/>
          <w:sz w:val="21"/>
          <w:szCs w:val="21"/>
        </w:rPr>
        <w:t xml:space="preserve"> </w:t>
      </w:r>
      <w:r w:rsidRPr="00F13DAB">
        <w:rPr>
          <w:rFonts w:asciiTheme="minorHAnsi" w:hAnsiTheme="minorHAnsi" w:cstheme="minorHAnsi"/>
          <w:sz w:val="21"/>
          <w:szCs w:val="21"/>
        </w:rPr>
        <w:t xml:space="preserve">a z prostředků ZFZP uhrazeno PZS za léčení cizinců </w:t>
      </w:r>
      <w:r w:rsidR="00F13DAB" w:rsidRPr="00F13DAB">
        <w:rPr>
          <w:rFonts w:asciiTheme="minorHAnsi" w:hAnsiTheme="minorHAnsi" w:cstheme="minorHAnsi"/>
          <w:sz w:val="21"/>
          <w:szCs w:val="21"/>
        </w:rPr>
        <w:t>2</w:t>
      </w:r>
      <w:r w:rsidRPr="00F13DAB">
        <w:rPr>
          <w:rFonts w:asciiTheme="minorHAnsi" w:hAnsiTheme="minorHAnsi" w:cstheme="minorHAnsi"/>
          <w:sz w:val="21"/>
          <w:szCs w:val="21"/>
        </w:rPr>
        <w:t>,</w:t>
      </w:r>
      <w:r w:rsidR="00F13DAB" w:rsidRPr="00F13DAB">
        <w:rPr>
          <w:rFonts w:asciiTheme="minorHAnsi" w:hAnsiTheme="minorHAnsi" w:cstheme="minorHAnsi"/>
          <w:sz w:val="21"/>
          <w:szCs w:val="21"/>
        </w:rPr>
        <w:t>595</w:t>
      </w:r>
      <w:r w:rsidR="000A7C30" w:rsidRPr="00F13DAB">
        <w:rPr>
          <w:rFonts w:asciiTheme="minorHAnsi" w:hAnsiTheme="minorHAnsi" w:cstheme="minorHAnsi"/>
          <w:sz w:val="21"/>
          <w:szCs w:val="21"/>
        </w:rPr>
        <w:t> </w:t>
      </w:r>
      <w:r w:rsidRPr="00F13DAB">
        <w:rPr>
          <w:rFonts w:asciiTheme="minorHAnsi" w:hAnsiTheme="minorHAnsi" w:cstheme="minorHAnsi"/>
          <w:sz w:val="21"/>
          <w:szCs w:val="21"/>
        </w:rPr>
        <w:t>mld. Kč, což znamená rozdíl mezi těmito příjmy a výdaji ve </w:t>
      </w:r>
      <w:r w:rsidRPr="00E93738">
        <w:rPr>
          <w:rFonts w:asciiTheme="minorHAnsi" w:hAnsiTheme="minorHAnsi" w:cstheme="minorHAnsi"/>
          <w:sz w:val="21"/>
          <w:szCs w:val="21"/>
        </w:rPr>
        <w:t xml:space="preserve">výši </w:t>
      </w:r>
      <w:r w:rsidR="00C1043C" w:rsidRPr="00E93738">
        <w:rPr>
          <w:rFonts w:asciiTheme="minorHAnsi" w:hAnsiTheme="minorHAnsi" w:cstheme="minorHAnsi"/>
          <w:sz w:val="21"/>
          <w:szCs w:val="21"/>
        </w:rPr>
        <w:t>−</w:t>
      </w:r>
      <w:r w:rsidRPr="00E93738">
        <w:rPr>
          <w:rFonts w:asciiTheme="minorHAnsi" w:hAnsiTheme="minorHAnsi" w:cstheme="minorHAnsi"/>
          <w:sz w:val="21"/>
          <w:szCs w:val="21"/>
        </w:rPr>
        <w:t>0,</w:t>
      </w:r>
      <w:r w:rsidR="00E93738" w:rsidRPr="00E93738">
        <w:rPr>
          <w:rFonts w:asciiTheme="minorHAnsi" w:hAnsiTheme="minorHAnsi" w:cstheme="minorHAnsi"/>
          <w:sz w:val="21"/>
          <w:szCs w:val="21"/>
        </w:rPr>
        <w:t>394</w:t>
      </w:r>
      <w:r w:rsidRPr="00E93738">
        <w:rPr>
          <w:rFonts w:asciiTheme="minorHAnsi" w:hAnsiTheme="minorHAnsi" w:cstheme="minorHAnsi"/>
          <w:sz w:val="21"/>
          <w:szCs w:val="21"/>
        </w:rPr>
        <w:t xml:space="preserve"> mld. Kč. </w:t>
      </w:r>
      <w:r w:rsidR="0002268B" w:rsidRPr="00E93738">
        <w:rPr>
          <w:rFonts w:asciiTheme="minorHAnsi" w:hAnsiTheme="minorHAnsi" w:cstheme="minorHAnsi"/>
          <w:sz w:val="21"/>
          <w:szCs w:val="21"/>
        </w:rPr>
        <w:t>Časové</w:t>
      </w:r>
      <w:r w:rsidR="0002268B" w:rsidRPr="00F13DAB">
        <w:rPr>
          <w:rFonts w:asciiTheme="minorHAnsi" w:hAnsiTheme="minorHAnsi" w:cstheme="minorHAnsi"/>
          <w:sz w:val="21"/>
          <w:szCs w:val="21"/>
        </w:rPr>
        <w:t xml:space="preserve"> převisy výdajů za ošetření cizinců nad příjmy od zahraničních pojišťoven byly hrazeny z prostředků ZFZP. Tato částka snižuje konečný zůstatek ZFZP.</w:t>
      </w:r>
    </w:p>
    <w:p w14:paraId="5B8445E4" w14:textId="1BF22AD7" w:rsidR="00086197" w:rsidRPr="00797DD7" w:rsidRDefault="00086197" w:rsidP="0002268B">
      <w:pPr>
        <w:pStyle w:val="TEXT"/>
        <w:spacing w:before="180" w:after="180" w:line="276" w:lineRule="auto"/>
        <w:ind w:firstLine="0"/>
        <w:rPr>
          <w:rFonts w:asciiTheme="minorHAnsi" w:hAnsiTheme="minorHAnsi" w:cstheme="minorHAnsi"/>
          <w:b/>
          <w:sz w:val="21"/>
          <w:szCs w:val="21"/>
        </w:rPr>
      </w:pPr>
      <w:r w:rsidRPr="00797DD7">
        <w:rPr>
          <w:rFonts w:asciiTheme="minorHAnsi" w:eastAsia="Calibri" w:hAnsiTheme="minorHAnsi" w:cstheme="minorHAnsi"/>
          <w:sz w:val="21"/>
          <w:szCs w:val="21"/>
          <w:lang w:eastAsia="en-US"/>
        </w:rPr>
        <w:t xml:space="preserve">Objemy úhrad na léčení </w:t>
      </w:r>
      <w:r w:rsidRPr="00797DD7">
        <w:rPr>
          <w:rFonts w:asciiTheme="minorHAnsi" w:hAnsiTheme="minorHAnsi" w:cstheme="minorHAnsi"/>
          <w:sz w:val="21"/>
          <w:szCs w:val="21"/>
        </w:rPr>
        <w:t xml:space="preserve">zahraničních pojištěnců </w:t>
      </w:r>
      <w:r w:rsidR="003C343E" w:rsidRPr="00797DD7">
        <w:rPr>
          <w:rFonts w:asciiTheme="minorHAnsi" w:eastAsia="Calibri" w:hAnsiTheme="minorHAnsi" w:cstheme="minorHAnsi"/>
          <w:sz w:val="21"/>
          <w:szCs w:val="21"/>
        </w:rPr>
        <w:t>mají</w:t>
      </w:r>
      <w:r w:rsidR="003C343E" w:rsidRPr="00797DD7">
        <w:rPr>
          <w:rFonts w:asciiTheme="minorHAnsi" w:hAnsiTheme="minorHAnsi" w:cstheme="minorHAnsi"/>
          <w:sz w:val="21"/>
          <w:szCs w:val="21"/>
        </w:rPr>
        <w:t xml:space="preserve"> i nadále pokračující trend nárůstu nákladů</w:t>
      </w:r>
      <w:r w:rsidR="003C7AAE" w:rsidRPr="00797DD7">
        <w:rPr>
          <w:rFonts w:asciiTheme="minorHAnsi" w:hAnsiTheme="minorHAnsi" w:cstheme="minorHAnsi"/>
          <w:sz w:val="21"/>
          <w:szCs w:val="21"/>
        </w:rPr>
        <w:t>.</w:t>
      </w:r>
      <w:r w:rsidRPr="00797DD7">
        <w:rPr>
          <w:rFonts w:asciiTheme="minorHAnsi" w:hAnsiTheme="minorHAnsi" w:cstheme="minorHAnsi"/>
          <w:sz w:val="21"/>
          <w:szCs w:val="21"/>
        </w:rPr>
        <w:t xml:space="preserve"> </w:t>
      </w:r>
      <w:r w:rsidR="00B96A2A" w:rsidRPr="00797DD7">
        <w:rPr>
          <w:rFonts w:asciiTheme="minorHAnsi" w:hAnsiTheme="minorHAnsi" w:cstheme="minorHAnsi"/>
          <w:sz w:val="21"/>
          <w:szCs w:val="21"/>
        </w:rPr>
        <w:t xml:space="preserve">Počet ošetřených zahraničních pojištěnců </w:t>
      </w:r>
      <w:r w:rsidR="00652F36" w:rsidRPr="00797DD7">
        <w:rPr>
          <w:rFonts w:asciiTheme="minorHAnsi" w:hAnsiTheme="minorHAnsi" w:cstheme="minorHAnsi"/>
          <w:sz w:val="21"/>
          <w:szCs w:val="21"/>
        </w:rPr>
        <w:t>se meziročně</w:t>
      </w:r>
      <w:r w:rsidR="007A31D8" w:rsidRPr="00797DD7">
        <w:rPr>
          <w:rFonts w:asciiTheme="minorHAnsi" w:hAnsiTheme="minorHAnsi" w:cstheme="minorHAnsi"/>
          <w:sz w:val="21"/>
          <w:szCs w:val="21"/>
        </w:rPr>
        <w:t xml:space="preserve"> také</w:t>
      </w:r>
      <w:r w:rsidR="00652F36" w:rsidRPr="00797DD7">
        <w:rPr>
          <w:rFonts w:asciiTheme="minorHAnsi" w:hAnsiTheme="minorHAnsi" w:cstheme="minorHAnsi"/>
          <w:sz w:val="21"/>
          <w:szCs w:val="21"/>
        </w:rPr>
        <w:t xml:space="preserve"> </w:t>
      </w:r>
      <w:r w:rsidR="006A0D70" w:rsidRPr="00797DD7">
        <w:rPr>
          <w:rFonts w:asciiTheme="minorHAnsi" w:hAnsiTheme="minorHAnsi" w:cstheme="minorHAnsi"/>
          <w:sz w:val="21"/>
          <w:szCs w:val="21"/>
        </w:rPr>
        <w:t>zvýšil</w:t>
      </w:r>
      <w:r w:rsidR="003C7AAE" w:rsidRPr="00797DD7">
        <w:rPr>
          <w:rFonts w:asciiTheme="minorHAnsi" w:hAnsiTheme="minorHAnsi" w:cstheme="minorHAnsi"/>
          <w:sz w:val="21"/>
          <w:szCs w:val="21"/>
        </w:rPr>
        <w:t>.</w:t>
      </w:r>
      <w:r w:rsidR="00652F36" w:rsidRPr="00797DD7">
        <w:rPr>
          <w:rFonts w:asciiTheme="minorHAnsi" w:hAnsiTheme="minorHAnsi" w:cstheme="minorHAnsi"/>
          <w:sz w:val="21"/>
          <w:szCs w:val="21"/>
        </w:rPr>
        <w:t xml:space="preserve"> </w:t>
      </w:r>
      <w:r w:rsidR="003C7AAE" w:rsidRPr="00797DD7">
        <w:rPr>
          <w:rFonts w:asciiTheme="minorHAnsi" w:hAnsiTheme="minorHAnsi" w:cstheme="minorHAnsi"/>
          <w:sz w:val="21"/>
          <w:szCs w:val="21"/>
        </w:rPr>
        <w:t>Z</w:t>
      </w:r>
      <w:r w:rsidR="00652F36" w:rsidRPr="00797DD7">
        <w:rPr>
          <w:rFonts w:asciiTheme="minorHAnsi" w:hAnsiTheme="minorHAnsi" w:cstheme="minorHAnsi"/>
          <w:sz w:val="21"/>
          <w:szCs w:val="21"/>
        </w:rPr>
        <w:t>namená</w:t>
      </w:r>
      <w:r w:rsidR="003C7AAE" w:rsidRPr="00797DD7">
        <w:rPr>
          <w:rFonts w:asciiTheme="minorHAnsi" w:hAnsiTheme="minorHAnsi" w:cstheme="minorHAnsi"/>
          <w:sz w:val="21"/>
          <w:szCs w:val="21"/>
        </w:rPr>
        <w:t xml:space="preserve"> to</w:t>
      </w:r>
      <w:r w:rsidR="00652F36" w:rsidRPr="00797DD7">
        <w:rPr>
          <w:rFonts w:asciiTheme="minorHAnsi" w:hAnsiTheme="minorHAnsi" w:cstheme="minorHAnsi"/>
          <w:sz w:val="21"/>
          <w:szCs w:val="21"/>
        </w:rPr>
        <w:t>, že oproti předcházejícím</w:t>
      </w:r>
      <w:r w:rsidR="007A31D8" w:rsidRPr="00797DD7">
        <w:rPr>
          <w:rFonts w:asciiTheme="minorHAnsi" w:hAnsiTheme="minorHAnsi" w:cstheme="minorHAnsi"/>
          <w:sz w:val="21"/>
          <w:szCs w:val="21"/>
        </w:rPr>
        <w:t>u</w:t>
      </w:r>
      <w:r w:rsidR="00652F36" w:rsidRPr="00797DD7">
        <w:rPr>
          <w:rFonts w:asciiTheme="minorHAnsi" w:hAnsiTheme="minorHAnsi" w:cstheme="minorHAnsi"/>
          <w:sz w:val="21"/>
          <w:szCs w:val="21"/>
        </w:rPr>
        <w:t xml:space="preserve"> rok</w:t>
      </w:r>
      <w:r w:rsidR="007A31D8" w:rsidRPr="00797DD7">
        <w:rPr>
          <w:rFonts w:asciiTheme="minorHAnsi" w:hAnsiTheme="minorHAnsi" w:cstheme="minorHAnsi"/>
          <w:sz w:val="21"/>
          <w:szCs w:val="21"/>
        </w:rPr>
        <w:t>u</w:t>
      </w:r>
      <w:r w:rsidR="00652F36" w:rsidRPr="00797DD7">
        <w:rPr>
          <w:rFonts w:asciiTheme="minorHAnsi" w:hAnsiTheme="minorHAnsi" w:cstheme="minorHAnsi"/>
          <w:sz w:val="21"/>
          <w:szCs w:val="21"/>
        </w:rPr>
        <w:t xml:space="preserve"> </w:t>
      </w:r>
      <w:r w:rsidR="00797DD7" w:rsidRPr="00797DD7">
        <w:rPr>
          <w:rFonts w:asciiTheme="minorHAnsi" w:hAnsiTheme="minorHAnsi" w:cstheme="minorHAnsi"/>
          <w:sz w:val="21"/>
          <w:szCs w:val="21"/>
        </w:rPr>
        <w:t xml:space="preserve">se </w:t>
      </w:r>
      <w:r w:rsidR="00652F36" w:rsidRPr="00797DD7">
        <w:rPr>
          <w:rFonts w:asciiTheme="minorHAnsi" w:hAnsiTheme="minorHAnsi" w:cstheme="minorHAnsi"/>
          <w:sz w:val="21"/>
          <w:szCs w:val="21"/>
        </w:rPr>
        <w:t>náklady na jednoho ošetřeného zahraničního pojištěnce</w:t>
      </w:r>
      <w:r w:rsidR="00797DD7" w:rsidRPr="00797DD7">
        <w:rPr>
          <w:rFonts w:asciiTheme="minorHAnsi" w:hAnsiTheme="minorHAnsi" w:cstheme="minorHAnsi"/>
          <w:sz w:val="21"/>
          <w:szCs w:val="21"/>
        </w:rPr>
        <w:t xml:space="preserve"> výrazně nezměnily</w:t>
      </w:r>
      <w:r w:rsidR="00652F36" w:rsidRPr="00797DD7">
        <w:rPr>
          <w:rFonts w:asciiTheme="minorHAnsi" w:hAnsiTheme="minorHAnsi" w:cstheme="minorHAnsi"/>
          <w:sz w:val="21"/>
          <w:szCs w:val="21"/>
        </w:rPr>
        <w:t>. Největší podíl nákladů čerpali o</w:t>
      </w:r>
      <w:r w:rsidRPr="00797DD7">
        <w:rPr>
          <w:rFonts w:asciiTheme="minorHAnsi" w:hAnsiTheme="minorHAnsi" w:cstheme="minorHAnsi"/>
          <w:sz w:val="21"/>
          <w:szCs w:val="21"/>
        </w:rPr>
        <w:t>bčan</w:t>
      </w:r>
      <w:r w:rsidR="00652F36" w:rsidRPr="00797DD7">
        <w:rPr>
          <w:rFonts w:asciiTheme="minorHAnsi" w:hAnsiTheme="minorHAnsi" w:cstheme="minorHAnsi"/>
          <w:sz w:val="21"/>
          <w:szCs w:val="21"/>
        </w:rPr>
        <w:t>é</w:t>
      </w:r>
      <w:r w:rsidRPr="00797DD7">
        <w:rPr>
          <w:rFonts w:asciiTheme="minorHAnsi" w:hAnsiTheme="minorHAnsi" w:cstheme="minorHAnsi"/>
          <w:sz w:val="21"/>
          <w:szCs w:val="21"/>
        </w:rPr>
        <w:t xml:space="preserve"> jiných členských států EU, EHP, Švýcarské konfederace a dalších smluvních států</w:t>
      </w:r>
      <w:r w:rsidR="00652F36" w:rsidRPr="00797DD7">
        <w:rPr>
          <w:rFonts w:asciiTheme="minorHAnsi" w:hAnsiTheme="minorHAnsi" w:cstheme="minorHAnsi"/>
          <w:sz w:val="21"/>
          <w:szCs w:val="21"/>
        </w:rPr>
        <w:t xml:space="preserve">. Čerpání </w:t>
      </w:r>
      <w:r w:rsidR="00BE36FD" w:rsidRPr="00797DD7">
        <w:rPr>
          <w:rFonts w:asciiTheme="minorHAnsi" w:hAnsiTheme="minorHAnsi" w:cstheme="minorHAnsi"/>
          <w:sz w:val="21"/>
          <w:szCs w:val="21"/>
        </w:rPr>
        <w:t xml:space="preserve">a strukturu </w:t>
      </w:r>
      <w:r w:rsidR="00652F36" w:rsidRPr="00797DD7">
        <w:rPr>
          <w:rFonts w:asciiTheme="minorHAnsi" w:hAnsiTheme="minorHAnsi" w:cstheme="minorHAnsi"/>
          <w:sz w:val="21"/>
          <w:szCs w:val="21"/>
        </w:rPr>
        <w:t xml:space="preserve">těchto nákladů je </w:t>
      </w:r>
      <w:r w:rsidR="00BE36FD" w:rsidRPr="00797DD7">
        <w:rPr>
          <w:rFonts w:asciiTheme="minorHAnsi" w:hAnsiTheme="minorHAnsi" w:cstheme="minorHAnsi"/>
          <w:sz w:val="21"/>
          <w:szCs w:val="21"/>
        </w:rPr>
        <w:t>složité dopředu odhadnout</w:t>
      </w:r>
      <w:r w:rsidR="00652F36" w:rsidRPr="00797DD7">
        <w:rPr>
          <w:rFonts w:asciiTheme="minorHAnsi" w:hAnsiTheme="minorHAnsi" w:cstheme="minorHAnsi"/>
          <w:sz w:val="21"/>
          <w:szCs w:val="21"/>
        </w:rPr>
        <w:t>.</w:t>
      </w:r>
    </w:p>
    <w:p w14:paraId="7C7A2194" w14:textId="3D0C7F11" w:rsidR="00086197" w:rsidRPr="00F63B1D" w:rsidRDefault="00086197" w:rsidP="0021299E">
      <w:pPr>
        <w:pStyle w:val="Titulek"/>
        <w:jc w:val="both"/>
      </w:pPr>
      <w:bookmarkStart w:id="63" w:name="_Toc41837506"/>
      <w:bookmarkStart w:id="64" w:name="_Toc168993239"/>
      <w:r w:rsidRPr="00F63B1D">
        <w:t xml:space="preserve">Tabulka č. </w:t>
      </w:r>
      <w:r w:rsidRPr="00F63B1D">
        <w:rPr>
          <w:noProof/>
        </w:rPr>
        <w:fldChar w:fldCharType="begin"/>
      </w:r>
      <w:r w:rsidRPr="00F63B1D">
        <w:rPr>
          <w:noProof/>
        </w:rPr>
        <w:instrText xml:space="preserve"> SEQ Tabulka \* ARABIC </w:instrText>
      </w:r>
      <w:r w:rsidRPr="00F63B1D">
        <w:rPr>
          <w:noProof/>
        </w:rPr>
        <w:fldChar w:fldCharType="separate"/>
      </w:r>
      <w:r w:rsidR="00904274">
        <w:rPr>
          <w:noProof/>
        </w:rPr>
        <w:t>14</w:t>
      </w:r>
      <w:r w:rsidRPr="00F63B1D">
        <w:rPr>
          <w:noProof/>
        </w:rPr>
        <w:fldChar w:fldCharType="end"/>
      </w:r>
      <w:r w:rsidRPr="00F63B1D">
        <w:t>: Vývoj nákladů na léčení zahraničních pojištěnců v České republice</w:t>
      </w:r>
      <w:bookmarkEnd w:id="63"/>
      <w:bookmarkEnd w:id="64"/>
      <w:r w:rsidRPr="00F63B1D">
        <w:t xml:space="preserve"> </w:t>
      </w:r>
    </w:p>
    <w:tbl>
      <w:tblPr>
        <w:tblW w:w="9062" w:type="dxa"/>
        <w:tblCellMar>
          <w:left w:w="70" w:type="dxa"/>
          <w:right w:w="70" w:type="dxa"/>
        </w:tblCellMar>
        <w:tblLook w:val="04A0" w:firstRow="1" w:lastRow="0" w:firstColumn="1" w:lastColumn="0" w:noHBand="0" w:noVBand="1"/>
      </w:tblPr>
      <w:tblGrid>
        <w:gridCol w:w="2080"/>
        <w:gridCol w:w="1000"/>
        <w:gridCol w:w="1000"/>
        <w:gridCol w:w="1000"/>
        <w:gridCol w:w="1000"/>
        <w:gridCol w:w="1000"/>
        <w:gridCol w:w="1000"/>
        <w:gridCol w:w="982"/>
      </w:tblGrid>
      <w:tr w:rsidR="00F63B1D" w:rsidRPr="00F63B1D" w14:paraId="4CDF3C91" w14:textId="77777777" w:rsidTr="00F63B1D">
        <w:trPr>
          <w:trHeight w:val="600"/>
        </w:trPr>
        <w:tc>
          <w:tcPr>
            <w:tcW w:w="2080" w:type="dxa"/>
            <w:tcBorders>
              <w:top w:val="single" w:sz="8" w:space="0" w:color="4F81BD"/>
              <w:left w:val="single" w:sz="8" w:space="0" w:color="4F81BD"/>
              <w:bottom w:val="nil"/>
              <w:right w:val="nil"/>
            </w:tcBorders>
            <w:shd w:val="clear" w:color="000000" w:fill="4F81BD"/>
            <w:hideMark/>
          </w:tcPr>
          <w:p w14:paraId="37C9CFDE" w14:textId="77777777" w:rsidR="00F63B1D" w:rsidRPr="00F63B1D" w:rsidRDefault="00F63B1D" w:rsidP="00F63B1D">
            <w:pPr>
              <w:spacing w:after="0" w:line="240" w:lineRule="auto"/>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Ukazatel</w:t>
            </w:r>
          </w:p>
        </w:tc>
        <w:tc>
          <w:tcPr>
            <w:tcW w:w="1000" w:type="dxa"/>
            <w:tcBorders>
              <w:top w:val="single" w:sz="8" w:space="0" w:color="4F81BD"/>
              <w:left w:val="nil"/>
              <w:bottom w:val="nil"/>
              <w:right w:val="nil"/>
            </w:tcBorders>
            <w:shd w:val="clear" w:color="000000" w:fill="6691C6"/>
            <w:hideMark/>
          </w:tcPr>
          <w:p w14:paraId="54383F6E"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2018</w:t>
            </w:r>
          </w:p>
        </w:tc>
        <w:tc>
          <w:tcPr>
            <w:tcW w:w="1000" w:type="dxa"/>
            <w:tcBorders>
              <w:top w:val="single" w:sz="8" w:space="0" w:color="4F81BD"/>
              <w:left w:val="nil"/>
              <w:bottom w:val="nil"/>
              <w:right w:val="nil"/>
            </w:tcBorders>
            <w:shd w:val="clear" w:color="000000" w:fill="4F81BD"/>
            <w:hideMark/>
          </w:tcPr>
          <w:p w14:paraId="0CE644B8"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2019</w:t>
            </w:r>
          </w:p>
        </w:tc>
        <w:tc>
          <w:tcPr>
            <w:tcW w:w="1000" w:type="dxa"/>
            <w:tcBorders>
              <w:top w:val="single" w:sz="8" w:space="0" w:color="4F81BD"/>
              <w:left w:val="nil"/>
              <w:bottom w:val="nil"/>
              <w:right w:val="nil"/>
            </w:tcBorders>
            <w:shd w:val="clear" w:color="000000" w:fill="6691C6"/>
            <w:hideMark/>
          </w:tcPr>
          <w:p w14:paraId="78E6ED94"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2020</w:t>
            </w:r>
          </w:p>
        </w:tc>
        <w:tc>
          <w:tcPr>
            <w:tcW w:w="1000" w:type="dxa"/>
            <w:tcBorders>
              <w:top w:val="single" w:sz="8" w:space="0" w:color="4F81BD"/>
              <w:left w:val="nil"/>
              <w:bottom w:val="nil"/>
              <w:right w:val="nil"/>
            </w:tcBorders>
            <w:shd w:val="clear" w:color="000000" w:fill="4F81BD"/>
            <w:hideMark/>
          </w:tcPr>
          <w:p w14:paraId="4E354372"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2021</w:t>
            </w:r>
          </w:p>
        </w:tc>
        <w:tc>
          <w:tcPr>
            <w:tcW w:w="1000" w:type="dxa"/>
            <w:tcBorders>
              <w:top w:val="single" w:sz="8" w:space="0" w:color="4F81BD"/>
              <w:left w:val="nil"/>
              <w:bottom w:val="nil"/>
              <w:right w:val="nil"/>
            </w:tcBorders>
            <w:shd w:val="clear" w:color="000000" w:fill="6691C6"/>
            <w:hideMark/>
          </w:tcPr>
          <w:p w14:paraId="6C694FD7"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2022</w:t>
            </w:r>
          </w:p>
        </w:tc>
        <w:tc>
          <w:tcPr>
            <w:tcW w:w="1000" w:type="dxa"/>
            <w:tcBorders>
              <w:top w:val="single" w:sz="8" w:space="0" w:color="4F81BD"/>
              <w:left w:val="nil"/>
              <w:bottom w:val="nil"/>
              <w:right w:val="nil"/>
            </w:tcBorders>
            <w:shd w:val="clear" w:color="000000" w:fill="4F81BD"/>
            <w:hideMark/>
          </w:tcPr>
          <w:p w14:paraId="1F28ECBC"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2023</w:t>
            </w:r>
          </w:p>
        </w:tc>
        <w:tc>
          <w:tcPr>
            <w:tcW w:w="982" w:type="dxa"/>
            <w:tcBorders>
              <w:top w:val="single" w:sz="8" w:space="0" w:color="4F81BD"/>
              <w:left w:val="nil"/>
              <w:bottom w:val="nil"/>
              <w:right w:val="single" w:sz="8" w:space="0" w:color="4F81BD"/>
            </w:tcBorders>
            <w:shd w:val="clear" w:color="000000" w:fill="6691C6"/>
            <w:hideMark/>
          </w:tcPr>
          <w:p w14:paraId="000EA511"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2023</w:t>
            </w:r>
            <w:r w:rsidRPr="00F63B1D">
              <w:rPr>
                <w:rFonts w:ascii="Calibri" w:eastAsia="Times New Roman" w:hAnsi="Calibri" w:cs="Calibri"/>
                <w:b/>
                <w:bCs/>
                <w:color w:val="FFFFFF"/>
                <w:szCs w:val="21"/>
                <w:lang w:eastAsia="cs-CZ"/>
              </w:rPr>
              <w:br/>
              <w:t>ZPP</w:t>
            </w:r>
          </w:p>
        </w:tc>
      </w:tr>
      <w:tr w:rsidR="00F63B1D" w:rsidRPr="00F63B1D" w14:paraId="22122DD1" w14:textId="77777777" w:rsidTr="00F63B1D">
        <w:trPr>
          <w:trHeight w:val="559"/>
        </w:trPr>
        <w:tc>
          <w:tcPr>
            <w:tcW w:w="2080" w:type="dxa"/>
            <w:tcBorders>
              <w:top w:val="nil"/>
              <w:left w:val="single" w:sz="8" w:space="0" w:color="4F81BD"/>
              <w:bottom w:val="nil"/>
              <w:right w:val="nil"/>
            </w:tcBorders>
            <w:shd w:val="clear" w:color="auto" w:fill="auto"/>
            <w:vAlign w:val="bottom"/>
            <w:hideMark/>
          </w:tcPr>
          <w:p w14:paraId="2B2353C8" w14:textId="77777777" w:rsidR="00F63B1D" w:rsidRPr="00F63B1D" w:rsidRDefault="00F63B1D" w:rsidP="00F63B1D">
            <w:pPr>
              <w:spacing w:after="0" w:line="240" w:lineRule="auto"/>
              <w:rPr>
                <w:rFonts w:ascii="Calibri" w:eastAsia="Times New Roman" w:hAnsi="Calibri" w:cs="Calibri"/>
                <w:b/>
                <w:bCs/>
                <w:color w:val="000000"/>
                <w:szCs w:val="21"/>
                <w:lang w:eastAsia="cs-CZ"/>
              </w:rPr>
            </w:pPr>
            <w:r w:rsidRPr="00F63B1D">
              <w:rPr>
                <w:rFonts w:ascii="Calibri" w:eastAsia="Times New Roman" w:hAnsi="Calibri" w:cs="Calibri"/>
                <w:b/>
                <w:bCs/>
                <w:color w:val="000000"/>
                <w:szCs w:val="21"/>
                <w:lang w:eastAsia="cs-CZ"/>
              </w:rPr>
              <w:t xml:space="preserve">Náklady na </w:t>
            </w:r>
            <w:r w:rsidRPr="00F63B1D">
              <w:rPr>
                <w:rFonts w:ascii="Calibri" w:eastAsia="Times New Roman" w:hAnsi="Calibri" w:cs="Calibri"/>
                <w:b/>
                <w:bCs/>
                <w:color w:val="000000"/>
                <w:szCs w:val="21"/>
                <w:lang w:eastAsia="cs-CZ"/>
              </w:rPr>
              <w:br/>
              <w:t xml:space="preserve">léčení z. p. </w:t>
            </w:r>
            <w:r w:rsidRPr="00F63B1D">
              <w:rPr>
                <w:rFonts w:ascii="Calibri" w:eastAsia="Times New Roman" w:hAnsi="Calibri" w:cs="Calibri"/>
                <w:color w:val="000000"/>
                <w:szCs w:val="21"/>
                <w:lang w:eastAsia="cs-CZ"/>
              </w:rPr>
              <w:t>(v mil. Kč)</w:t>
            </w:r>
          </w:p>
        </w:tc>
        <w:tc>
          <w:tcPr>
            <w:tcW w:w="1000" w:type="dxa"/>
            <w:tcBorders>
              <w:top w:val="nil"/>
              <w:left w:val="nil"/>
              <w:bottom w:val="nil"/>
              <w:right w:val="nil"/>
            </w:tcBorders>
            <w:shd w:val="clear" w:color="auto" w:fill="auto"/>
            <w:noWrap/>
            <w:vAlign w:val="bottom"/>
            <w:hideMark/>
          </w:tcPr>
          <w:p w14:paraId="0551DD40"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1 494</w:t>
            </w:r>
          </w:p>
        </w:tc>
        <w:tc>
          <w:tcPr>
            <w:tcW w:w="1000" w:type="dxa"/>
            <w:tcBorders>
              <w:top w:val="nil"/>
              <w:left w:val="nil"/>
              <w:bottom w:val="nil"/>
              <w:right w:val="nil"/>
            </w:tcBorders>
            <w:shd w:val="clear" w:color="000000" w:fill="DCE6F1"/>
            <w:noWrap/>
            <w:vAlign w:val="bottom"/>
            <w:hideMark/>
          </w:tcPr>
          <w:p w14:paraId="30A19F91"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1 615</w:t>
            </w:r>
          </w:p>
        </w:tc>
        <w:tc>
          <w:tcPr>
            <w:tcW w:w="1000" w:type="dxa"/>
            <w:tcBorders>
              <w:top w:val="nil"/>
              <w:left w:val="nil"/>
              <w:bottom w:val="nil"/>
              <w:right w:val="nil"/>
            </w:tcBorders>
            <w:shd w:val="clear" w:color="auto" w:fill="auto"/>
            <w:noWrap/>
            <w:vAlign w:val="bottom"/>
            <w:hideMark/>
          </w:tcPr>
          <w:p w14:paraId="437343CF"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1 821</w:t>
            </w:r>
          </w:p>
        </w:tc>
        <w:tc>
          <w:tcPr>
            <w:tcW w:w="1000" w:type="dxa"/>
            <w:tcBorders>
              <w:top w:val="nil"/>
              <w:left w:val="nil"/>
              <w:bottom w:val="nil"/>
              <w:right w:val="nil"/>
            </w:tcBorders>
            <w:shd w:val="clear" w:color="000000" w:fill="DCE6F1"/>
            <w:noWrap/>
            <w:vAlign w:val="bottom"/>
            <w:hideMark/>
          </w:tcPr>
          <w:p w14:paraId="37FD36A3"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1 388</w:t>
            </w:r>
          </w:p>
        </w:tc>
        <w:tc>
          <w:tcPr>
            <w:tcW w:w="1000" w:type="dxa"/>
            <w:tcBorders>
              <w:top w:val="nil"/>
              <w:left w:val="nil"/>
              <w:bottom w:val="nil"/>
              <w:right w:val="nil"/>
            </w:tcBorders>
            <w:shd w:val="clear" w:color="auto" w:fill="auto"/>
            <w:noWrap/>
            <w:vAlign w:val="bottom"/>
            <w:hideMark/>
          </w:tcPr>
          <w:p w14:paraId="0825EE46"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2 476</w:t>
            </w:r>
          </w:p>
        </w:tc>
        <w:tc>
          <w:tcPr>
            <w:tcW w:w="1000" w:type="dxa"/>
            <w:tcBorders>
              <w:top w:val="nil"/>
              <w:left w:val="nil"/>
              <w:bottom w:val="nil"/>
              <w:right w:val="nil"/>
            </w:tcBorders>
            <w:shd w:val="clear" w:color="000000" w:fill="DCE6F1"/>
            <w:noWrap/>
            <w:vAlign w:val="bottom"/>
            <w:hideMark/>
          </w:tcPr>
          <w:p w14:paraId="3232ABDA"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3 001</w:t>
            </w:r>
          </w:p>
        </w:tc>
        <w:tc>
          <w:tcPr>
            <w:tcW w:w="982" w:type="dxa"/>
            <w:tcBorders>
              <w:top w:val="nil"/>
              <w:left w:val="nil"/>
              <w:bottom w:val="nil"/>
              <w:right w:val="single" w:sz="8" w:space="0" w:color="4F81BD"/>
            </w:tcBorders>
            <w:shd w:val="clear" w:color="auto" w:fill="auto"/>
            <w:noWrap/>
            <w:vAlign w:val="bottom"/>
            <w:hideMark/>
          </w:tcPr>
          <w:p w14:paraId="5CF79B6B"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2 669</w:t>
            </w:r>
          </w:p>
        </w:tc>
      </w:tr>
      <w:tr w:rsidR="00F63B1D" w:rsidRPr="00F63B1D" w14:paraId="473121D2" w14:textId="77777777" w:rsidTr="00F63B1D">
        <w:trPr>
          <w:trHeight w:val="300"/>
        </w:trPr>
        <w:tc>
          <w:tcPr>
            <w:tcW w:w="2080" w:type="dxa"/>
            <w:tcBorders>
              <w:top w:val="nil"/>
              <w:left w:val="single" w:sz="8" w:space="0" w:color="4F81BD"/>
              <w:bottom w:val="nil"/>
              <w:right w:val="nil"/>
            </w:tcBorders>
            <w:shd w:val="clear" w:color="000000" w:fill="EEF3F8"/>
            <w:vAlign w:val="bottom"/>
            <w:hideMark/>
          </w:tcPr>
          <w:p w14:paraId="2E746B84" w14:textId="77777777" w:rsidR="00F63B1D" w:rsidRPr="00F63B1D" w:rsidRDefault="00F63B1D" w:rsidP="00F63B1D">
            <w:pPr>
              <w:spacing w:after="0" w:line="240" w:lineRule="auto"/>
              <w:rPr>
                <w:rFonts w:ascii="Calibri" w:eastAsia="Times New Roman" w:hAnsi="Calibri" w:cs="Calibri"/>
                <w:b/>
                <w:bCs/>
                <w:color w:val="000000"/>
                <w:szCs w:val="21"/>
                <w:lang w:eastAsia="cs-CZ"/>
              </w:rPr>
            </w:pPr>
            <w:r w:rsidRPr="00F63B1D">
              <w:rPr>
                <w:rFonts w:ascii="Calibri" w:eastAsia="Times New Roman" w:hAnsi="Calibri" w:cs="Calibri"/>
                <w:b/>
                <w:bCs/>
                <w:color w:val="000000"/>
                <w:szCs w:val="21"/>
                <w:lang w:eastAsia="cs-CZ"/>
              </w:rPr>
              <w:t xml:space="preserve">Počet ošetřených z. p. </w:t>
            </w:r>
          </w:p>
        </w:tc>
        <w:tc>
          <w:tcPr>
            <w:tcW w:w="1000" w:type="dxa"/>
            <w:tcBorders>
              <w:top w:val="nil"/>
              <w:left w:val="nil"/>
              <w:bottom w:val="nil"/>
              <w:right w:val="nil"/>
            </w:tcBorders>
            <w:shd w:val="clear" w:color="000000" w:fill="EEF3F8"/>
            <w:noWrap/>
            <w:vAlign w:val="bottom"/>
            <w:hideMark/>
          </w:tcPr>
          <w:p w14:paraId="434D7075"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232 961</w:t>
            </w:r>
          </w:p>
        </w:tc>
        <w:tc>
          <w:tcPr>
            <w:tcW w:w="1000" w:type="dxa"/>
            <w:tcBorders>
              <w:top w:val="nil"/>
              <w:left w:val="nil"/>
              <w:bottom w:val="nil"/>
              <w:right w:val="nil"/>
            </w:tcBorders>
            <w:shd w:val="clear" w:color="000000" w:fill="EEF3F8"/>
            <w:noWrap/>
            <w:vAlign w:val="bottom"/>
            <w:hideMark/>
          </w:tcPr>
          <w:p w14:paraId="0CE0199D"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248 388</w:t>
            </w:r>
          </w:p>
        </w:tc>
        <w:tc>
          <w:tcPr>
            <w:tcW w:w="1000" w:type="dxa"/>
            <w:tcBorders>
              <w:top w:val="nil"/>
              <w:left w:val="nil"/>
              <w:bottom w:val="nil"/>
              <w:right w:val="nil"/>
            </w:tcBorders>
            <w:shd w:val="clear" w:color="000000" w:fill="EEF3F8"/>
            <w:noWrap/>
            <w:vAlign w:val="bottom"/>
            <w:hideMark/>
          </w:tcPr>
          <w:p w14:paraId="0C435F19"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241 920</w:t>
            </w:r>
          </w:p>
        </w:tc>
        <w:tc>
          <w:tcPr>
            <w:tcW w:w="1000" w:type="dxa"/>
            <w:tcBorders>
              <w:top w:val="nil"/>
              <w:left w:val="nil"/>
              <w:bottom w:val="nil"/>
              <w:right w:val="nil"/>
            </w:tcBorders>
            <w:shd w:val="clear" w:color="000000" w:fill="EEF3F8"/>
            <w:noWrap/>
            <w:vAlign w:val="bottom"/>
            <w:hideMark/>
          </w:tcPr>
          <w:p w14:paraId="0FA40B5D"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277 914</w:t>
            </w:r>
          </w:p>
        </w:tc>
        <w:tc>
          <w:tcPr>
            <w:tcW w:w="1000" w:type="dxa"/>
            <w:tcBorders>
              <w:top w:val="nil"/>
              <w:left w:val="nil"/>
              <w:bottom w:val="nil"/>
              <w:right w:val="nil"/>
            </w:tcBorders>
            <w:shd w:val="clear" w:color="000000" w:fill="EEF3F8"/>
            <w:noWrap/>
            <w:vAlign w:val="bottom"/>
            <w:hideMark/>
          </w:tcPr>
          <w:p w14:paraId="2354BAFD"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371 590</w:t>
            </w:r>
          </w:p>
        </w:tc>
        <w:tc>
          <w:tcPr>
            <w:tcW w:w="1000" w:type="dxa"/>
            <w:tcBorders>
              <w:top w:val="nil"/>
              <w:left w:val="nil"/>
              <w:bottom w:val="nil"/>
              <w:right w:val="nil"/>
            </w:tcBorders>
            <w:shd w:val="clear" w:color="000000" w:fill="EEF3F8"/>
            <w:noWrap/>
            <w:vAlign w:val="bottom"/>
            <w:hideMark/>
          </w:tcPr>
          <w:p w14:paraId="04964B57"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450 211</w:t>
            </w:r>
          </w:p>
        </w:tc>
        <w:tc>
          <w:tcPr>
            <w:tcW w:w="982" w:type="dxa"/>
            <w:tcBorders>
              <w:top w:val="nil"/>
              <w:left w:val="nil"/>
              <w:bottom w:val="nil"/>
              <w:right w:val="single" w:sz="8" w:space="0" w:color="4F81BD"/>
            </w:tcBorders>
            <w:shd w:val="clear" w:color="000000" w:fill="EEF3F8"/>
            <w:noWrap/>
            <w:vAlign w:val="bottom"/>
            <w:hideMark/>
          </w:tcPr>
          <w:p w14:paraId="14D4EA67"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361 180</w:t>
            </w:r>
          </w:p>
        </w:tc>
      </w:tr>
      <w:tr w:rsidR="00F63B1D" w:rsidRPr="00F63B1D" w14:paraId="10FE2B0B" w14:textId="77777777" w:rsidTr="00F63B1D">
        <w:trPr>
          <w:trHeight w:val="559"/>
        </w:trPr>
        <w:tc>
          <w:tcPr>
            <w:tcW w:w="2080" w:type="dxa"/>
            <w:tcBorders>
              <w:top w:val="nil"/>
              <w:left w:val="single" w:sz="8" w:space="0" w:color="4F81BD"/>
              <w:bottom w:val="single" w:sz="8" w:space="0" w:color="4F81BD"/>
              <w:right w:val="nil"/>
            </w:tcBorders>
            <w:shd w:val="clear" w:color="auto" w:fill="auto"/>
            <w:vAlign w:val="bottom"/>
            <w:hideMark/>
          </w:tcPr>
          <w:p w14:paraId="42EB5C2A" w14:textId="77777777" w:rsidR="00F63B1D" w:rsidRPr="00F63B1D" w:rsidRDefault="00F63B1D" w:rsidP="00F63B1D">
            <w:pPr>
              <w:spacing w:after="0" w:line="240" w:lineRule="auto"/>
              <w:rPr>
                <w:rFonts w:ascii="Calibri" w:eastAsia="Times New Roman" w:hAnsi="Calibri" w:cs="Calibri"/>
                <w:b/>
                <w:bCs/>
                <w:color w:val="000000"/>
                <w:szCs w:val="21"/>
                <w:lang w:eastAsia="cs-CZ"/>
              </w:rPr>
            </w:pPr>
            <w:r w:rsidRPr="00F63B1D">
              <w:rPr>
                <w:rFonts w:ascii="Calibri" w:eastAsia="Times New Roman" w:hAnsi="Calibri" w:cs="Calibri"/>
                <w:b/>
                <w:bCs/>
                <w:color w:val="000000"/>
                <w:szCs w:val="21"/>
                <w:lang w:eastAsia="cs-CZ"/>
              </w:rPr>
              <w:t xml:space="preserve">Průměrné náklady na ošetřeného z. p. </w:t>
            </w:r>
            <w:r w:rsidRPr="00F63B1D">
              <w:rPr>
                <w:rFonts w:ascii="Calibri" w:eastAsia="Times New Roman" w:hAnsi="Calibri" w:cs="Calibri"/>
                <w:color w:val="000000"/>
                <w:szCs w:val="21"/>
                <w:lang w:eastAsia="cs-CZ"/>
              </w:rPr>
              <w:t>(v Kč)</w:t>
            </w:r>
          </w:p>
        </w:tc>
        <w:tc>
          <w:tcPr>
            <w:tcW w:w="1000" w:type="dxa"/>
            <w:tcBorders>
              <w:top w:val="nil"/>
              <w:left w:val="nil"/>
              <w:bottom w:val="single" w:sz="8" w:space="0" w:color="4F81BD"/>
              <w:right w:val="nil"/>
            </w:tcBorders>
            <w:shd w:val="clear" w:color="auto" w:fill="auto"/>
            <w:noWrap/>
            <w:vAlign w:val="bottom"/>
            <w:hideMark/>
          </w:tcPr>
          <w:p w14:paraId="5A3BA028"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6 414</w:t>
            </w:r>
          </w:p>
        </w:tc>
        <w:tc>
          <w:tcPr>
            <w:tcW w:w="1000" w:type="dxa"/>
            <w:tcBorders>
              <w:top w:val="nil"/>
              <w:left w:val="nil"/>
              <w:bottom w:val="single" w:sz="8" w:space="0" w:color="4F81BD"/>
              <w:right w:val="nil"/>
            </w:tcBorders>
            <w:shd w:val="clear" w:color="000000" w:fill="DCE6F1"/>
            <w:noWrap/>
            <w:vAlign w:val="bottom"/>
            <w:hideMark/>
          </w:tcPr>
          <w:p w14:paraId="3C7C03C3"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6 501</w:t>
            </w:r>
          </w:p>
        </w:tc>
        <w:tc>
          <w:tcPr>
            <w:tcW w:w="1000" w:type="dxa"/>
            <w:tcBorders>
              <w:top w:val="nil"/>
              <w:left w:val="nil"/>
              <w:bottom w:val="single" w:sz="8" w:space="0" w:color="4F81BD"/>
              <w:right w:val="nil"/>
            </w:tcBorders>
            <w:shd w:val="clear" w:color="auto" w:fill="auto"/>
            <w:noWrap/>
            <w:vAlign w:val="bottom"/>
            <w:hideMark/>
          </w:tcPr>
          <w:p w14:paraId="7CA91286"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7 527</w:t>
            </w:r>
          </w:p>
        </w:tc>
        <w:tc>
          <w:tcPr>
            <w:tcW w:w="1000" w:type="dxa"/>
            <w:tcBorders>
              <w:top w:val="nil"/>
              <w:left w:val="nil"/>
              <w:bottom w:val="single" w:sz="8" w:space="0" w:color="4F81BD"/>
              <w:right w:val="nil"/>
            </w:tcBorders>
            <w:shd w:val="clear" w:color="000000" w:fill="DCE6F1"/>
            <w:noWrap/>
            <w:vAlign w:val="bottom"/>
            <w:hideMark/>
          </w:tcPr>
          <w:p w14:paraId="7D3891D7"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4 995</w:t>
            </w:r>
          </w:p>
        </w:tc>
        <w:tc>
          <w:tcPr>
            <w:tcW w:w="1000" w:type="dxa"/>
            <w:tcBorders>
              <w:top w:val="nil"/>
              <w:left w:val="nil"/>
              <w:bottom w:val="single" w:sz="8" w:space="0" w:color="4F81BD"/>
              <w:right w:val="nil"/>
            </w:tcBorders>
            <w:shd w:val="clear" w:color="auto" w:fill="auto"/>
            <w:noWrap/>
            <w:vAlign w:val="bottom"/>
            <w:hideMark/>
          </w:tcPr>
          <w:p w14:paraId="7E3FEC59"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6 662</w:t>
            </w:r>
          </w:p>
        </w:tc>
        <w:tc>
          <w:tcPr>
            <w:tcW w:w="1000" w:type="dxa"/>
            <w:tcBorders>
              <w:top w:val="nil"/>
              <w:left w:val="nil"/>
              <w:bottom w:val="single" w:sz="8" w:space="0" w:color="4F81BD"/>
              <w:right w:val="nil"/>
            </w:tcBorders>
            <w:shd w:val="clear" w:color="000000" w:fill="DCE6F1"/>
            <w:noWrap/>
            <w:vAlign w:val="bottom"/>
            <w:hideMark/>
          </w:tcPr>
          <w:p w14:paraId="755B0D49"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6 666</w:t>
            </w:r>
          </w:p>
        </w:tc>
        <w:tc>
          <w:tcPr>
            <w:tcW w:w="982" w:type="dxa"/>
            <w:tcBorders>
              <w:top w:val="nil"/>
              <w:left w:val="nil"/>
              <w:bottom w:val="single" w:sz="8" w:space="0" w:color="4F81BD"/>
              <w:right w:val="single" w:sz="8" w:space="0" w:color="4F81BD"/>
            </w:tcBorders>
            <w:shd w:val="clear" w:color="auto" w:fill="auto"/>
            <w:noWrap/>
            <w:vAlign w:val="bottom"/>
            <w:hideMark/>
          </w:tcPr>
          <w:p w14:paraId="4119AC92"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7 390</w:t>
            </w:r>
          </w:p>
        </w:tc>
      </w:tr>
    </w:tbl>
    <w:p w14:paraId="291BB236" w14:textId="77777777" w:rsidR="00F63B1D" w:rsidRPr="008C1EAB" w:rsidRDefault="00F63B1D" w:rsidP="004F12DF">
      <w:pPr>
        <w:rPr>
          <w:highlight w:val="yellow"/>
          <w:lang w:bidi="hi-IN"/>
        </w:rPr>
      </w:pPr>
    </w:p>
    <w:p w14:paraId="1570C996" w14:textId="563C9747" w:rsidR="00086197" w:rsidRPr="00F63B1D" w:rsidRDefault="00086197" w:rsidP="00086197">
      <w:pPr>
        <w:pStyle w:val="Titulek"/>
        <w:jc w:val="both"/>
      </w:pPr>
      <w:bookmarkStart w:id="65" w:name="_Toc41837507"/>
      <w:bookmarkStart w:id="66" w:name="_Toc168993240"/>
      <w:r w:rsidRPr="00F63B1D">
        <w:t xml:space="preserve">Tabulka č. </w:t>
      </w:r>
      <w:r w:rsidRPr="00F63B1D">
        <w:rPr>
          <w:noProof/>
        </w:rPr>
        <w:fldChar w:fldCharType="begin"/>
      </w:r>
      <w:r w:rsidRPr="00F63B1D">
        <w:rPr>
          <w:noProof/>
        </w:rPr>
        <w:instrText xml:space="preserve"> SEQ Tabulka \* ARABIC </w:instrText>
      </w:r>
      <w:r w:rsidRPr="00F63B1D">
        <w:rPr>
          <w:noProof/>
        </w:rPr>
        <w:fldChar w:fldCharType="separate"/>
      </w:r>
      <w:r w:rsidR="00904274">
        <w:rPr>
          <w:noProof/>
        </w:rPr>
        <w:t>15</w:t>
      </w:r>
      <w:r w:rsidRPr="00F63B1D">
        <w:rPr>
          <w:noProof/>
        </w:rPr>
        <w:fldChar w:fldCharType="end"/>
      </w:r>
      <w:r w:rsidRPr="00F63B1D">
        <w:t>: Náklady na léčení zahraničních pojištěnců v České republice podle zdravotních pojišťoven v roce 20</w:t>
      </w:r>
      <w:r w:rsidR="00AB51E9" w:rsidRPr="00F63B1D">
        <w:t>2</w:t>
      </w:r>
      <w:bookmarkEnd w:id="65"/>
      <w:r w:rsidR="00F63B1D">
        <w:t>3</w:t>
      </w:r>
      <w:bookmarkEnd w:id="66"/>
    </w:p>
    <w:tbl>
      <w:tblPr>
        <w:tblW w:w="9080" w:type="dxa"/>
        <w:tblCellMar>
          <w:left w:w="70" w:type="dxa"/>
          <w:right w:w="70" w:type="dxa"/>
        </w:tblCellMar>
        <w:tblLook w:val="04A0" w:firstRow="1" w:lastRow="0" w:firstColumn="1" w:lastColumn="0" w:noHBand="0" w:noVBand="1"/>
      </w:tblPr>
      <w:tblGrid>
        <w:gridCol w:w="2080"/>
        <w:gridCol w:w="1000"/>
        <w:gridCol w:w="1000"/>
        <w:gridCol w:w="1000"/>
        <w:gridCol w:w="1000"/>
        <w:gridCol w:w="1000"/>
        <w:gridCol w:w="1000"/>
        <w:gridCol w:w="1000"/>
      </w:tblGrid>
      <w:tr w:rsidR="00F63B1D" w:rsidRPr="00F63B1D" w14:paraId="413E5B77" w14:textId="77777777" w:rsidTr="00F63B1D">
        <w:trPr>
          <w:trHeight w:val="600"/>
        </w:trPr>
        <w:tc>
          <w:tcPr>
            <w:tcW w:w="2080" w:type="dxa"/>
            <w:tcBorders>
              <w:top w:val="single" w:sz="8" w:space="0" w:color="4F81BD"/>
              <w:left w:val="single" w:sz="8" w:space="0" w:color="4F81BD"/>
              <w:bottom w:val="nil"/>
              <w:right w:val="nil"/>
            </w:tcBorders>
            <w:shd w:val="clear" w:color="000000" w:fill="4F81BD"/>
            <w:hideMark/>
          </w:tcPr>
          <w:p w14:paraId="7C10F5A9" w14:textId="77777777" w:rsidR="00F63B1D" w:rsidRPr="00F63B1D" w:rsidRDefault="00F63B1D" w:rsidP="00F63B1D">
            <w:pPr>
              <w:spacing w:after="0" w:line="240" w:lineRule="auto"/>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Ukazatel</w:t>
            </w:r>
          </w:p>
        </w:tc>
        <w:tc>
          <w:tcPr>
            <w:tcW w:w="1000" w:type="dxa"/>
            <w:tcBorders>
              <w:top w:val="single" w:sz="8" w:space="0" w:color="4F81BD"/>
              <w:left w:val="nil"/>
              <w:bottom w:val="nil"/>
              <w:right w:val="nil"/>
            </w:tcBorders>
            <w:shd w:val="clear" w:color="000000" w:fill="6691C6"/>
            <w:noWrap/>
            <w:vAlign w:val="center"/>
            <w:hideMark/>
          </w:tcPr>
          <w:p w14:paraId="31AD4E9B"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VZP ČR</w:t>
            </w:r>
          </w:p>
        </w:tc>
        <w:tc>
          <w:tcPr>
            <w:tcW w:w="1000" w:type="dxa"/>
            <w:tcBorders>
              <w:top w:val="single" w:sz="8" w:space="0" w:color="4F81BD"/>
              <w:left w:val="nil"/>
              <w:bottom w:val="nil"/>
              <w:right w:val="nil"/>
            </w:tcBorders>
            <w:shd w:val="clear" w:color="000000" w:fill="4F81BD"/>
            <w:noWrap/>
            <w:vAlign w:val="center"/>
            <w:hideMark/>
          </w:tcPr>
          <w:p w14:paraId="60AD4DAC"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VoZP ČR</w:t>
            </w:r>
          </w:p>
        </w:tc>
        <w:tc>
          <w:tcPr>
            <w:tcW w:w="1000" w:type="dxa"/>
            <w:tcBorders>
              <w:top w:val="single" w:sz="8" w:space="0" w:color="4F81BD"/>
              <w:left w:val="nil"/>
              <w:bottom w:val="nil"/>
              <w:right w:val="nil"/>
            </w:tcBorders>
            <w:shd w:val="clear" w:color="000000" w:fill="6691C6"/>
            <w:noWrap/>
            <w:vAlign w:val="center"/>
            <w:hideMark/>
          </w:tcPr>
          <w:p w14:paraId="7389B69E"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ČPZP</w:t>
            </w:r>
          </w:p>
        </w:tc>
        <w:tc>
          <w:tcPr>
            <w:tcW w:w="1000" w:type="dxa"/>
            <w:tcBorders>
              <w:top w:val="single" w:sz="8" w:space="0" w:color="4F81BD"/>
              <w:left w:val="nil"/>
              <w:bottom w:val="nil"/>
              <w:right w:val="nil"/>
            </w:tcBorders>
            <w:shd w:val="clear" w:color="000000" w:fill="4F81BD"/>
            <w:noWrap/>
            <w:vAlign w:val="center"/>
            <w:hideMark/>
          </w:tcPr>
          <w:p w14:paraId="052FC443"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OZP</w:t>
            </w:r>
          </w:p>
        </w:tc>
        <w:tc>
          <w:tcPr>
            <w:tcW w:w="1000" w:type="dxa"/>
            <w:tcBorders>
              <w:top w:val="single" w:sz="8" w:space="0" w:color="4F81BD"/>
              <w:left w:val="nil"/>
              <w:bottom w:val="nil"/>
              <w:right w:val="nil"/>
            </w:tcBorders>
            <w:shd w:val="clear" w:color="000000" w:fill="6691C6"/>
            <w:noWrap/>
            <w:vAlign w:val="center"/>
            <w:hideMark/>
          </w:tcPr>
          <w:p w14:paraId="1488F15E"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ZPŠ</w:t>
            </w:r>
          </w:p>
        </w:tc>
        <w:tc>
          <w:tcPr>
            <w:tcW w:w="1000" w:type="dxa"/>
            <w:tcBorders>
              <w:top w:val="single" w:sz="8" w:space="0" w:color="4F81BD"/>
              <w:left w:val="nil"/>
              <w:bottom w:val="nil"/>
              <w:right w:val="nil"/>
            </w:tcBorders>
            <w:shd w:val="clear" w:color="000000" w:fill="4F81BD"/>
            <w:noWrap/>
            <w:vAlign w:val="center"/>
            <w:hideMark/>
          </w:tcPr>
          <w:p w14:paraId="64A0715F"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ZP MV ČR</w:t>
            </w:r>
          </w:p>
        </w:tc>
        <w:tc>
          <w:tcPr>
            <w:tcW w:w="1000" w:type="dxa"/>
            <w:tcBorders>
              <w:top w:val="single" w:sz="8" w:space="0" w:color="4F81BD"/>
              <w:left w:val="nil"/>
              <w:bottom w:val="nil"/>
              <w:right w:val="single" w:sz="8" w:space="0" w:color="4F81BD"/>
            </w:tcBorders>
            <w:shd w:val="clear" w:color="000000" w:fill="6691C6"/>
            <w:noWrap/>
            <w:vAlign w:val="center"/>
            <w:hideMark/>
          </w:tcPr>
          <w:p w14:paraId="7A2A3BA0" w14:textId="77777777" w:rsidR="00F63B1D" w:rsidRPr="00F63B1D" w:rsidRDefault="00F63B1D" w:rsidP="00F63B1D">
            <w:pPr>
              <w:spacing w:after="0" w:line="240" w:lineRule="auto"/>
              <w:jc w:val="center"/>
              <w:rPr>
                <w:rFonts w:ascii="Calibri" w:eastAsia="Times New Roman" w:hAnsi="Calibri" w:cs="Calibri"/>
                <w:b/>
                <w:bCs/>
                <w:color w:val="FFFFFF"/>
                <w:szCs w:val="21"/>
                <w:lang w:eastAsia="cs-CZ"/>
              </w:rPr>
            </w:pPr>
            <w:r w:rsidRPr="00F63B1D">
              <w:rPr>
                <w:rFonts w:ascii="Calibri" w:eastAsia="Times New Roman" w:hAnsi="Calibri" w:cs="Calibri"/>
                <w:b/>
                <w:bCs/>
                <w:color w:val="FFFFFF"/>
                <w:szCs w:val="21"/>
                <w:lang w:eastAsia="cs-CZ"/>
              </w:rPr>
              <w:t>RBP</w:t>
            </w:r>
          </w:p>
        </w:tc>
      </w:tr>
      <w:tr w:rsidR="00F63B1D" w:rsidRPr="00F63B1D" w14:paraId="1BECFA8B" w14:textId="77777777" w:rsidTr="00F63B1D">
        <w:trPr>
          <w:trHeight w:val="559"/>
        </w:trPr>
        <w:tc>
          <w:tcPr>
            <w:tcW w:w="2080" w:type="dxa"/>
            <w:tcBorders>
              <w:top w:val="nil"/>
              <w:left w:val="single" w:sz="8" w:space="0" w:color="4F81BD"/>
              <w:bottom w:val="nil"/>
              <w:right w:val="nil"/>
            </w:tcBorders>
            <w:shd w:val="clear" w:color="auto" w:fill="auto"/>
            <w:vAlign w:val="bottom"/>
            <w:hideMark/>
          </w:tcPr>
          <w:p w14:paraId="1047C544" w14:textId="77777777" w:rsidR="00F63B1D" w:rsidRPr="00F63B1D" w:rsidRDefault="00F63B1D" w:rsidP="00F63B1D">
            <w:pPr>
              <w:spacing w:after="0" w:line="240" w:lineRule="auto"/>
              <w:rPr>
                <w:rFonts w:ascii="Calibri" w:eastAsia="Times New Roman" w:hAnsi="Calibri" w:cs="Calibri"/>
                <w:b/>
                <w:bCs/>
                <w:color w:val="000000"/>
                <w:szCs w:val="21"/>
                <w:lang w:eastAsia="cs-CZ"/>
              </w:rPr>
            </w:pPr>
            <w:r w:rsidRPr="00F63B1D">
              <w:rPr>
                <w:rFonts w:ascii="Calibri" w:eastAsia="Times New Roman" w:hAnsi="Calibri" w:cs="Calibri"/>
                <w:b/>
                <w:bCs/>
                <w:color w:val="000000"/>
                <w:szCs w:val="21"/>
                <w:lang w:eastAsia="cs-CZ"/>
              </w:rPr>
              <w:t xml:space="preserve">Náklady na </w:t>
            </w:r>
            <w:r w:rsidRPr="00F63B1D">
              <w:rPr>
                <w:rFonts w:ascii="Calibri" w:eastAsia="Times New Roman" w:hAnsi="Calibri" w:cs="Calibri"/>
                <w:b/>
                <w:bCs/>
                <w:color w:val="000000"/>
                <w:szCs w:val="21"/>
                <w:lang w:eastAsia="cs-CZ"/>
              </w:rPr>
              <w:br/>
              <w:t xml:space="preserve">léčení z. p. </w:t>
            </w:r>
            <w:r w:rsidRPr="00F63B1D">
              <w:rPr>
                <w:rFonts w:ascii="Calibri" w:eastAsia="Times New Roman" w:hAnsi="Calibri" w:cs="Calibri"/>
                <w:color w:val="000000"/>
                <w:szCs w:val="21"/>
                <w:lang w:eastAsia="cs-CZ"/>
              </w:rPr>
              <w:t>(v mil. Kč)</w:t>
            </w:r>
          </w:p>
        </w:tc>
        <w:tc>
          <w:tcPr>
            <w:tcW w:w="1000" w:type="dxa"/>
            <w:tcBorders>
              <w:top w:val="nil"/>
              <w:left w:val="nil"/>
              <w:bottom w:val="nil"/>
              <w:right w:val="nil"/>
            </w:tcBorders>
            <w:shd w:val="clear" w:color="auto" w:fill="auto"/>
            <w:noWrap/>
            <w:vAlign w:val="bottom"/>
            <w:hideMark/>
          </w:tcPr>
          <w:p w14:paraId="2C677DCC"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2 152</w:t>
            </w:r>
          </w:p>
        </w:tc>
        <w:tc>
          <w:tcPr>
            <w:tcW w:w="1000" w:type="dxa"/>
            <w:tcBorders>
              <w:top w:val="nil"/>
              <w:left w:val="nil"/>
              <w:bottom w:val="nil"/>
              <w:right w:val="nil"/>
            </w:tcBorders>
            <w:shd w:val="clear" w:color="auto" w:fill="auto"/>
            <w:noWrap/>
            <w:vAlign w:val="bottom"/>
            <w:hideMark/>
          </w:tcPr>
          <w:p w14:paraId="1951C883"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185</w:t>
            </w:r>
          </w:p>
        </w:tc>
        <w:tc>
          <w:tcPr>
            <w:tcW w:w="1000" w:type="dxa"/>
            <w:tcBorders>
              <w:top w:val="nil"/>
              <w:left w:val="nil"/>
              <w:bottom w:val="nil"/>
              <w:right w:val="nil"/>
            </w:tcBorders>
            <w:shd w:val="clear" w:color="000000" w:fill="DCE6F1"/>
            <w:noWrap/>
            <w:vAlign w:val="bottom"/>
            <w:hideMark/>
          </w:tcPr>
          <w:p w14:paraId="7186156A"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205</w:t>
            </w:r>
          </w:p>
        </w:tc>
        <w:tc>
          <w:tcPr>
            <w:tcW w:w="1000" w:type="dxa"/>
            <w:tcBorders>
              <w:top w:val="nil"/>
              <w:left w:val="nil"/>
              <w:bottom w:val="nil"/>
              <w:right w:val="nil"/>
            </w:tcBorders>
            <w:shd w:val="clear" w:color="auto" w:fill="auto"/>
            <w:noWrap/>
            <w:vAlign w:val="bottom"/>
            <w:hideMark/>
          </w:tcPr>
          <w:p w14:paraId="3FF07CD1"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124</w:t>
            </w:r>
          </w:p>
        </w:tc>
        <w:tc>
          <w:tcPr>
            <w:tcW w:w="1000" w:type="dxa"/>
            <w:tcBorders>
              <w:top w:val="nil"/>
              <w:left w:val="nil"/>
              <w:bottom w:val="nil"/>
              <w:right w:val="nil"/>
            </w:tcBorders>
            <w:shd w:val="clear" w:color="000000" w:fill="DCE6F1"/>
            <w:noWrap/>
            <w:vAlign w:val="bottom"/>
            <w:hideMark/>
          </w:tcPr>
          <w:p w14:paraId="07F13AC4"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17</w:t>
            </w:r>
          </w:p>
        </w:tc>
        <w:tc>
          <w:tcPr>
            <w:tcW w:w="1000" w:type="dxa"/>
            <w:tcBorders>
              <w:top w:val="nil"/>
              <w:left w:val="nil"/>
              <w:bottom w:val="nil"/>
              <w:right w:val="nil"/>
            </w:tcBorders>
            <w:shd w:val="clear" w:color="auto" w:fill="auto"/>
            <w:noWrap/>
            <w:vAlign w:val="bottom"/>
            <w:hideMark/>
          </w:tcPr>
          <w:p w14:paraId="4C6826B4"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284</w:t>
            </w:r>
          </w:p>
        </w:tc>
        <w:tc>
          <w:tcPr>
            <w:tcW w:w="1000" w:type="dxa"/>
            <w:tcBorders>
              <w:top w:val="nil"/>
              <w:left w:val="nil"/>
              <w:bottom w:val="nil"/>
              <w:right w:val="single" w:sz="8" w:space="0" w:color="4F81BD"/>
            </w:tcBorders>
            <w:shd w:val="clear" w:color="000000" w:fill="DCE6F1"/>
            <w:noWrap/>
            <w:vAlign w:val="bottom"/>
            <w:hideMark/>
          </w:tcPr>
          <w:p w14:paraId="52A19564"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33</w:t>
            </w:r>
          </w:p>
        </w:tc>
      </w:tr>
      <w:tr w:rsidR="00F63B1D" w:rsidRPr="00F63B1D" w14:paraId="5CC64EA7" w14:textId="77777777" w:rsidTr="00F63B1D">
        <w:trPr>
          <w:trHeight w:val="300"/>
        </w:trPr>
        <w:tc>
          <w:tcPr>
            <w:tcW w:w="2080" w:type="dxa"/>
            <w:tcBorders>
              <w:top w:val="nil"/>
              <w:left w:val="single" w:sz="8" w:space="0" w:color="4F81BD"/>
              <w:bottom w:val="nil"/>
              <w:right w:val="nil"/>
            </w:tcBorders>
            <w:shd w:val="clear" w:color="000000" w:fill="EEF3F8"/>
            <w:vAlign w:val="bottom"/>
            <w:hideMark/>
          </w:tcPr>
          <w:p w14:paraId="6D545879" w14:textId="77777777" w:rsidR="00F63B1D" w:rsidRPr="00F63B1D" w:rsidRDefault="00F63B1D" w:rsidP="00F63B1D">
            <w:pPr>
              <w:spacing w:after="0" w:line="240" w:lineRule="auto"/>
              <w:rPr>
                <w:rFonts w:ascii="Calibri" w:eastAsia="Times New Roman" w:hAnsi="Calibri" w:cs="Calibri"/>
                <w:b/>
                <w:bCs/>
                <w:color w:val="000000"/>
                <w:szCs w:val="21"/>
                <w:lang w:eastAsia="cs-CZ"/>
              </w:rPr>
            </w:pPr>
            <w:r w:rsidRPr="00F63B1D">
              <w:rPr>
                <w:rFonts w:ascii="Calibri" w:eastAsia="Times New Roman" w:hAnsi="Calibri" w:cs="Calibri"/>
                <w:b/>
                <w:bCs/>
                <w:color w:val="000000"/>
                <w:szCs w:val="21"/>
                <w:lang w:eastAsia="cs-CZ"/>
              </w:rPr>
              <w:t xml:space="preserve">Počet ošetřených z. p. </w:t>
            </w:r>
          </w:p>
        </w:tc>
        <w:tc>
          <w:tcPr>
            <w:tcW w:w="1000" w:type="dxa"/>
            <w:tcBorders>
              <w:top w:val="nil"/>
              <w:left w:val="nil"/>
              <w:bottom w:val="nil"/>
              <w:right w:val="nil"/>
            </w:tcBorders>
            <w:shd w:val="clear" w:color="000000" w:fill="EEF3F8"/>
            <w:noWrap/>
            <w:vAlign w:val="bottom"/>
            <w:hideMark/>
          </w:tcPr>
          <w:p w14:paraId="57D2F9B7"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354 949</w:t>
            </w:r>
          </w:p>
        </w:tc>
        <w:tc>
          <w:tcPr>
            <w:tcW w:w="1000" w:type="dxa"/>
            <w:tcBorders>
              <w:top w:val="nil"/>
              <w:left w:val="nil"/>
              <w:bottom w:val="nil"/>
              <w:right w:val="nil"/>
            </w:tcBorders>
            <w:shd w:val="clear" w:color="000000" w:fill="EEF3F8"/>
            <w:noWrap/>
            <w:vAlign w:val="bottom"/>
            <w:hideMark/>
          </w:tcPr>
          <w:p w14:paraId="53C2C0B7"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22 863</w:t>
            </w:r>
          </w:p>
        </w:tc>
        <w:tc>
          <w:tcPr>
            <w:tcW w:w="1000" w:type="dxa"/>
            <w:tcBorders>
              <w:top w:val="nil"/>
              <w:left w:val="nil"/>
              <w:bottom w:val="nil"/>
              <w:right w:val="nil"/>
            </w:tcBorders>
            <w:shd w:val="clear" w:color="000000" w:fill="EEF3F8"/>
            <w:noWrap/>
            <w:vAlign w:val="bottom"/>
            <w:hideMark/>
          </w:tcPr>
          <w:p w14:paraId="71680126"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28 836</w:t>
            </w:r>
          </w:p>
        </w:tc>
        <w:tc>
          <w:tcPr>
            <w:tcW w:w="1000" w:type="dxa"/>
            <w:tcBorders>
              <w:top w:val="nil"/>
              <w:left w:val="nil"/>
              <w:bottom w:val="nil"/>
              <w:right w:val="nil"/>
            </w:tcBorders>
            <w:shd w:val="clear" w:color="000000" w:fill="EEF3F8"/>
            <w:noWrap/>
            <w:vAlign w:val="bottom"/>
            <w:hideMark/>
          </w:tcPr>
          <w:p w14:paraId="3E00F263"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4 534</w:t>
            </w:r>
          </w:p>
        </w:tc>
        <w:tc>
          <w:tcPr>
            <w:tcW w:w="1000" w:type="dxa"/>
            <w:tcBorders>
              <w:top w:val="nil"/>
              <w:left w:val="nil"/>
              <w:bottom w:val="nil"/>
              <w:right w:val="nil"/>
            </w:tcBorders>
            <w:shd w:val="clear" w:color="000000" w:fill="EEF3F8"/>
            <w:noWrap/>
            <w:vAlign w:val="bottom"/>
            <w:hideMark/>
          </w:tcPr>
          <w:p w14:paraId="455F82E0"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1 712</w:t>
            </w:r>
          </w:p>
        </w:tc>
        <w:tc>
          <w:tcPr>
            <w:tcW w:w="1000" w:type="dxa"/>
            <w:tcBorders>
              <w:top w:val="nil"/>
              <w:left w:val="nil"/>
              <w:bottom w:val="nil"/>
              <w:right w:val="nil"/>
            </w:tcBorders>
            <w:shd w:val="clear" w:color="000000" w:fill="EEF3F8"/>
            <w:noWrap/>
            <w:vAlign w:val="bottom"/>
            <w:hideMark/>
          </w:tcPr>
          <w:p w14:paraId="7C2CAD14"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33 480</w:t>
            </w:r>
          </w:p>
        </w:tc>
        <w:tc>
          <w:tcPr>
            <w:tcW w:w="1000" w:type="dxa"/>
            <w:tcBorders>
              <w:top w:val="nil"/>
              <w:left w:val="nil"/>
              <w:bottom w:val="nil"/>
              <w:right w:val="single" w:sz="8" w:space="0" w:color="4F81BD"/>
            </w:tcBorders>
            <w:shd w:val="clear" w:color="000000" w:fill="EEF3F8"/>
            <w:noWrap/>
            <w:vAlign w:val="bottom"/>
            <w:hideMark/>
          </w:tcPr>
          <w:p w14:paraId="58F8D312"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3 837</w:t>
            </w:r>
          </w:p>
        </w:tc>
      </w:tr>
      <w:tr w:rsidR="00F63B1D" w:rsidRPr="00F63B1D" w14:paraId="7CD8C016" w14:textId="77777777" w:rsidTr="00F63B1D">
        <w:trPr>
          <w:trHeight w:val="559"/>
        </w:trPr>
        <w:tc>
          <w:tcPr>
            <w:tcW w:w="2080" w:type="dxa"/>
            <w:tcBorders>
              <w:top w:val="nil"/>
              <w:left w:val="single" w:sz="8" w:space="0" w:color="4F81BD"/>
              <w:bottom w:val="single" w:sz="8" w:space="0" w:color="4F81BD"/>
              <w:right w:val="nil"/>
            </w:tcBorders>
            <w:shd w:val="clear" w:color="auto" w:fill="auto"/>
            <w:vAlign w:val="bottom"/>
            <w:hideMark/>
          </w:tcPr>
          <w:p w14:paraId="3EC432D6" w14:textId="77777777" w:rsidR="00F63B1D" w:rsidRPr="00F63B1D" w:rsidRDefault="00F63B1D" w:rsidP="00F63B1D">
            <w:pPr>
              <w:spacing w:after="0" w:line="240" w:lineRule="auto"/>
              <w:rPr>
                <w:rFonts w:ascii="Calibri" w:eastAsia="Times New Roman" w:hAnsi="Calibri" w:cs="Calibri"/>
                <w:b/>
                <w:bCs/>
                <w:color w:val="000000"/>
                <w:szCs w:val="21"/>
                <w:lang w:eastAsia="cs-CZ"/>
              </w:rPr>
            </w:pPr>
            <w:r w:rsidRPr="00F63B1D">
              <w:rPr>
                <w:rFonts w:ascii="Calibri" w:eastAsia="Times New Roman" w:hAnsi="Calibri" w:cs="Calibri"/>
                <w:b/>
                <w:bCs/>
                <w:color w:val="000000"/>
                <w:szCs w:val="21"/>
                <w:lang w:eastAsia="cs-CZ"/>
              </w:rPr>
              <w:t xml:space="preserve">Průměrné náklady na ošetřeného z. p. </w:t>
            </w:r>
            <w:r w:rsidRPr="00F63B1D">
              <w:rPr>
                <w:rFonts w:ascii="Calibri" w:eastAsia="Times New Roman" w:hAnsi="Calibri" w:cs="Calibri"/>
                <w:color w:val="000000"/>
                <w:szCs w:val="21"/>
                <w:lang w:eastAsia="cs-CZ"/>
              </w:rPr>
              <w:t>(v Kč)</w:t>
            </w:r>
          </w:p>
        </w:tc>
        <w:tc>
          <w:tcPr>
            <w:tcW w:w="1000" w:type="dxa"/>
            <w:tcBorders>
              <w:top w:val="nil"/>
              <w:left w:val="nil"/>
              <w:bottom w:val="single" w:sz="8" w:space="0" w:color="4F81BD"/>
              <w:right w:val="nil"/>
            </w:tcBorders>
            <w:shd w:val="clear" w:color="000000" w:fill="DCE6F1"/>
            <w:noWrap/>
            <w:vAlign w:val="bottom"/>
            <w:hideMark/>
          </w:tcPr>
          <w:p w14:paraId="07DF113D"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6 064</w:t>
            </w:r>
          </w:p>
        </w:tc>
        <w:tc>
          <w:tcPr>
            <w:tcW w:w="1000" w:type="dxa"/>
            <w:tcBorders>
              <w:top w:val="nil"/>
              <w:left w:val="nil"/>
              <w:bottom w:val="single" w:sz="8" w:space="0" w:color="4F81BD"/>
              <w:right w:val="nil"/>
            </w:tcBorders>
            <w:shd w:val="clear" w:color="auto" w:fill="auto"/>
            <w:noWrap/>
            <w:vAlign w:val="bottom"/>
            <w:hideMark/>
          </w:tcPr>
          <w:p w14:paraId="13A50E4E"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8 112</w:t>
            </w:r>
          </w:p>
        </w:tc>
        <w:tc>
          <w:tcPr>
            <w:tcW w:w="1000" w:type="dxa"/>
            <w:tcBorders>
              <w:top w:val="nil"/>
              <w:left w:val="nil"/>
              <w:bottom w:val="single" w:sz="8" w:space="0" w:color="4F81BD"/>
              <w:right w:val="nil"/>
            </w:tcBorders>
            <w:shd w:val="clear" w:color="000000" w:fill="DCE6F1"/>
            <w:noWrap/>
            <w:vAlign w:val="bottom"/>
            <w:hideMark/>
          </w:tcPr>
          <w:p w14:paraId="3E228234"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7 095</w:t>
            </w:r>
          </w:p>
        </w:tc>
        <w:tc>
          <w:tcPr>
            <w:tcW w:w="1000" w:type="dxa"/>
            <w:tcBorders>
              <w:top w:val="nil"/>
              <w:left w:val="nil"/>
              <w:bottom w:val="single" w:sz="8" w:space="0" w:color="4F81BD"/>
              <w:right w:val="nil"/>
            </w:tcBorders>
            <w:shd w:val="clear" w:color="auto" w:fill="auto"/>
            <w:noWrap/>
            <w:vAlign w:val="bottom"/>
            <w:hideMark/>
          </w:tcPr>
          <w:p w14:paraId="4CE9E3C0"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27 362</w:t>
            </w:r>
          </w:p>
        </w:tc>
        <w:tc>
          <w:tcPr>
            <w:tcW w:w="1000" w:type="dxa"/>
            <w:tcBorders>
              <w:top w:val="nil"/>
              <w:left w:val="nil"/>
              <w:bottom w:val="single" w:sz="8" w:space="0" w:color="4F81BD"/>
              <w:right w:val="nil"/>
            </w:tcBorders>
            <w:shd w:val="clear" w:color="000000" w:fill="DCE6F1"/>
            <w:noWrap/>
            <w:vAlign w:val="bottom"/>
            <w:hideMark/>
          </w:tcPr>
          <w:p w14:paraId="43D314F1"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9 962</w:t>
            </w:r>
          </w:p>
        </w:tc>
        <w:tc>
          <w:tcPr>
            <w:tcW w:w="1000" w:type="dxa"/>
            <w:tcBorders>
              <w:top w:val="nil"/>
              <w:left w:val="nil"/>
              <w:bottom w:val="single" w:sz="8" w:space="0" w:color="4F81BD"/>
              <w:right w:val="nil"/>
            </w:tcBorders>
            <w:shd w:val="clear" w:color="auto" w:fill="auto"/>
            <w:noWrap/>
            <w:vAlign w:val="bottom"/>
            <w:hideMark/>
          </w:tcPr>
          <w:p w14:paraId="13D73360"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8 494</w:t>
            </w:r>
          </w:p>
        </w:tc>
        <w:tc>
          <w:tcPr>
            <w:tcW w:w="1000" w:type="dxa"/>
            <w:tcBorders>
              <w:top w:val="nil"/>
              <w:left w:val="nil"/>
              <w:bottom w:val="single" w:sz="8" w:space="0" w:color="4F81BD"/>
              <w:right w:val="single" w:sz="8" w:space="0" w:color="4F81BD"/>
            </w:tcBorders>
            <w:shd w:val="clear" w:color="000000" w:fill="DCE6F1"/>
            <w:noWrap/>
            <w:vAlign w:val="bottom"/>
            <w:hideMark/>
          </w:tcPr>
          <w:p w14:paraId="41DAAAD7" w14:textId="77777777" w:rsidR="00F63B1D" w:rsidRPr="00F63B1D" w:rsidRDefault="00F63B1D" w:rsidP="00F63B1D">
            <w:pPr>
              <w:spacing w:after="0" w:line="240" w:lineRule="auto"/>
              <w:jc w:val="right"/>
              <w:rPr>
                <w:rFonts w:ascii="Calibri" w:eastAsia="Times New Roman" w:hAnsi="Calibri" w:cs="Calibri"/>
                <w:color w:val="000000"/>
                <w:szCs w:val="21"/>
                <w:lang w:eastAsia="cs-CZ"/>
              </w:rPr>
            </w:pPr>
            <w:r w:rsidRPr="00F63B1D">
              <w:rPr>
                <w:rFonts w:ascii="Calibri" w:eastAsia="Times New Roman" w:hAnsi="Calibri" w:cs="Calibri"/>
                <w:color w:val="000000"/>
                <w:szCs w:val="21"/>
                <w:lang w:eastAsia="cs-CZ"/>
              </w:rPr>
              <w:t>8 577</w:t>
            </w:r>
          </w:p>
        </w:tc>
      </w:tr>
    </w:tbl>
    <w:p w14:paraId="565F439C" w14:textId="620EE0EA" w:rsidR="00466CEC" w:rsidRPr="008C1EAB" w:rsidRDefault="00466CEC" w:rsidP="00466CEC">
      <w:pPr>
        <w:rPr>
          <w:highlight w:val="yellow"/>
          <w:lang w:eastAsia="cs-CZ"/>
        </w:rPr>
      </w:pPr>
      <w:r w:rsidRPr="008C1EAB">
        <w:rPr>
          <w:highlight w:val="yellow"/>
          <w:lang w:eastAsia="cs-CZ"/>
        </w:rPr>
        <w:br w:type="page"/>
      </w:r>
    </w:p>
    <w:p w14:paraId="1FB1A36C" w14:textId="60C18B9E" w:rsidR="001703E0" w:rsidRPr="00190547" w:rsidRDefault="00436F6E" w:rsidP="007327D1">
      <w:pPr>
        <w:pStyle w:val="Nadpis2"/>
      </w:pPr>
      <w:bookmarkStart w:id="67" w:name="_Toc169176582"/>
      <w:r w:rsidRPr="00190547">
        <w:t>Náklady na preventivní zdravotní péči</w:t>
      </w:r>
      <w:r w:rsidR="003B04FE" w:rsidRPr="00190547">
        <w:t xml:space="preserve"> a jiné programy</w:t>
      </w:r>
      <w:r w:rsidRPr="00190547">
        <w:t xml:space="preserve"> čerpané z fondu prevence</w:t>
      </w:r>
      <w:bookmarkEnd w:id="67"/>
    </w:p>
    <w:p w14:paraId="752A7E77" w14:textId="6CAE4DB2" w:rsidR="000C12F5" w:rsidRPr="00190547" w:rsidRDefault="001703E0" w:rsidP="005564C7">
      <w:pPr>
        <w:autoSpaceDE w:val="0"/>
        <w:autoSpaceDN w:val="0"/>
        <w:adjustRightInd w:val="0"/>
        <w:spacing w:before="120" w:after="120" w:line="276" w:lineRule="auto"/>
        <w:jc w:val="both"/>
        <w:rPr>
          <w:rFonts w:cstheme="minorHAnsi"/>
          <w:szCs w:val="21"/>
        </w:rPr>
      </w:pPr>
      <w:r w:rsidRPr="00190547">
        <w:rPr>
          <w:rFonts w:cstheme="minorHAnsi"/>
          <w:b/>
          <w:szCs w:val="21"/>
        </w:rPr>
        <w:t xml:space="preserve">Celkové náklady na zdravotní péči hrazené nad rámec v. z. p. čerpané z fondu prevence </w:t>
      </w:r>
      <w:r w:rsidRPr="00190547">
        <w:rPr>
          <w:rFonts w:cstheme="minorHAnsi"/>
          <w:szCs w:val="21"/>
        </w:rPr>
        <w:t>(Fprev)</w:t>
      </w:r>
      <w:r w:rsidRPr="00190547">
        <w:rPr>
          <w:rFonts w:cstheme="minorHAnsi"/>
          <w:b/>
          <w:szCs w:val="21"/>
        </w:rPr>
        <w:t xml:space="preserve"> </w:t>
      </w:r>
      <w:r w:rsidRPr="00190547">
        <w:rPr>
          <w:rFonts w:cstheme="minorHAnsi"/>
          <w:szCs w:val="21"/>
        </w:rPr>
        <w:t xml:space="preserve">a dalších specifických fondů dosáhly za všechny činné ZP výše </w:t>
      </w:r>
      <w:r w:rsidR="00437592" w:rsidRPr="00190547">
        <w:rPr>
          <w:rFonts w:cstheme="minorHAnsi"/>
          <w:szCs w:val="21"/>
        </w:rPr>
        <w:t>2</w:t>
      </w:r>
      <w:r w:rsidRPr="00190547">
        <w:rPr>
          <w:rFonts w:cstheme="minorHAnsi"/>
          <w:szCs w:val="21"/>
        </w:rPr>
        <w:t>,</w:t>
      </w:r>
      <w:r w:rsidR="00190547" w:rsidRPr="00190547">
        <w:rPr>
          <w:rFonts w:cstheme="minorHAnsi"/>
          <w:szCs w:val="21"/>
        </w:rPr>
        <w:t>287</w:t>
      </w:r>
      <w:r w:rsidR="000C0B90" w:rsidRPr="00190547">
        <w:rPr>
          <w:rFonts w:cstheme="minorHAnsi"/>
          <w:szCs w:val="21"/>
        </w:rPr>
        <w:t xml:space="preserve"> </w:t>
      </w:r>
      <w:r w:rsidRPr="00190547">
        <w:rPr>
          <w:rFonts w:cstheme="minorHAnsi"/>
          <w:szCs w:val="21"/>
        </w:rPr>
        <w:t xml:space="preserve">mld. Kč, což je meziroční </w:t>
      </w:r>
      <w:r w:rsidR="00190547" w:rsidRPr="00190547">
        <w:rPr>
          <w:rFonts w:cstheme="minorHAnsi"/>
          <w:szCs w:val="21"/>
        </w:rPr>
        <w:t>pokles</w:t>
      </w:r>
      <w:r w:rsidRPr="00190547">
        <w:rPr>
          <w:rFonts w:cstheme="minorHAnsi"/>
          <w:szCs w:val="21"/>
        </w:rPr>
        <w:t xml:space="preserve"> o 0,</w:t>
      </w:r>
      <w:r w:rsidR="00190547" w:rsidRPr="00190547">
        <w:rPr>
          <w:rFonts w:cstheme="minorHAnsi"/>
          <w:szCs w:val="21"/>
        </w:rPr>
        <w:t>279</w:t>
      </w:r>
      <w:r w:rsidRPr="00190547">
        <w:rPr>
          <w:rFonts w:cstheme="minorHAnsi"/>
          <w:szCs w:val="21"/>
        </w:rPr>
        <w:t xml:space="preserve"> mld. Kč, tj. o</w:t>
      </w:r>
      <w:r w:rsidR="002716FA" w:rsidRPr="00190547">
        <w:rPr>
          <w:rFonts w:cstheme="minorHAnsi"/>
          <w:szCs w:val="21"/>
        </w:rPr>
        <w:t> </w:t>
      </w:r>
      <w:r w:rsidR="00F171F6" w:rsidRPr="00190547">
        <w:rPr>
          <w:rFonts w:cstheme="minorHAnsi"/>
          <w:szCs w:val="21"/>
        </w:rPr>
        <w:t>1</w:t>
      </w:r>
      <w:r w:rsidR="00190547" w:rsidRPr="00190547">
        <w:rPr>
          <w:rFonts w:cstheme="minorHAnsi"/>
          <w:szCs w:val="21"/>
        </w:rPr>
        <w:t>0</w:t>
      </w:r>
      <w:r w:rsidRPr="00190547">
        <w:rPr>
          <w:rFonts w:cstheme="minorHAnsi"/>
          <w:szCs w:val="21"/>
        </w:rPr>
        <w:t>,</w:t>
      </w:r>
      <w:r w:rsidR="00190547" w:rsidRPr="00190547">
        <w:rPr>
          <w:rFonts w:cstheme="minorHAnsi"/>
          <w:szCs w:val="21"/>
        </w:rPr>
        <w:t>9</w:t>
      </w:r>
      <w:r w:rsidR="00F171F6" w:rsidRPr="00190547">
        <w:rPr>
          <w:rFonts w:cstheme="minorHAnsi"/>
          <w:szCs w:val="21"/>
        </w:rPr>
        <w:t> </w:t>
      </w:r>
      <w:r w:rsidRPr="00190547">
        <w:rPr>
          <w:rFonts w:cstheme="minorHAnsi"/>
          <w:szCs w:val="21"/>
        </w:rPr>
        <w:t>%. Oproti ZPP 20</w:t>
      </w:r>
      <w:r w:rsidR="004B3A1B" w:rsidRPr="00190547">
        <w:rPr>
          <w:rFonts w:cstheme="minorHAnsi"/>
          <w:szCs w:val="21"/>
        </w:rPr>
        <w:t>2</w:t>
      </w:r>
      <w:r w:rsidR="00190547" w:rsidRPr="00190547">
        <w:rPr>
          <w:rFonts w:cstheme="minorHAnsi"/>
          <w:szCs w:val="21"/>
        </w:rPr>
        <w:t>3</w:t>
      </w:r>
      <w:r w:rsidRPr="00190547">
        <w:rPr>
          <w:rFonts w:cstheme="minorHAnsi"/>
          <w:szCs w:val="21"/>
        </w:rPr>
        <w:t xml:space="preserve"> pak jde o </w:t>
      </w:r>
      <w:r w:rsidR="00437592" w:rsidRPr="00190547">
        <w:rPr>
          <w:rFonts w:cstheme="minorHAnsi"/>
          <w:szCs w:val="21"/>
        </w:rPr>
        <w:t>nárůst</w:t>
      </w:r>
      <w:r w:rsidR="004B3A1B" w:rsidRPr="00190547">
        <w:rPr>
          <w:rFonts w:cstheme="minorHAnsi"/>
          <w:szCs w:val="21"/>
        </w:rPr>
        <w:t xml:space="preserve"> </w:t>
      </w:r>
      <w:r w:rsidRPr="00190547">
        <w:rPr>
          <w:rFonts w:cstheme="minorHAnsi"/>
          <w:szCs w:val="21"/>
        </w:rPr>
        <w:t>o 0,</w:t>
      </w:r>
      <w:r w:rsidR="00190547" w:rsidRPr="00190547">
        <w:rPr>
          <w:rFonts w:cstheme="minorHAnsi"/>
          <w:szCs w:val="21"/>
        </w:rPr>
        <w:t>028</w:t>
      </w:r>
      <w:r w:rsidRPr="00190547">
        <w:rPr>
          <w:rFonts w:cstheme="minorHAnsi"/>
          <w:szCs w:val="21"/>
        </w:rPr>
        <w:t xml:space="preserve"> mld</w:t>
      </w:r>
      <w:r w:rsidRPr="00190547">
        <w:rPr>
          <w:rFonts w:eastAsia="SimSun" w:cstheme="minorHAnsi"/>
          <w:szCs w:val="21"/>
        </w:rPr>
        <w:t>. Kč, tj. o</w:t>
      </w:r>
      <w:r w:rsidRPr="00190547">
        <w:rPr>
          <w:rFonts w:cstheme="minorHAnsi"/>
          <w:szCs w:val="21"/>
        </w:rPr>
        <w:t xml:space="preserve"> </w:t>
      </w:r>
      <w:r w:rsidR="00190547" w:rsidRPr="00190547">
        <w:rPr>
          <w:rFonts w:cstheme="minorHAnsi"/>
          <w:szCs w:val="21"/>
        </w:rPr>
        <w:t>1</w:t>
      </w:r>
      <w:r w:rsidRPr="00190547">
        <w:rPr>
          <w:rFonts w:cstheme="minorHAnsi"/>
          <w:szCs w:val="21"/>
        </w:rPr>
        <w:t>,</w:t>
      </w:r>
      <w:r w:rsidR="00190547" w:rsidRPr="00190547">
        <w:rPr>
          <w:rFonts w:cstheme="minorHAnsi"/>
          <w:szCs w:val="21"/>
        </w:rPr>
        <w:t>2</w:t>
      </w:r>
      <w:r w:rsidRPr="00190547">
        <w:rPr>
          <w:rFonts w:cstheme="minorHAnsi"/>
          <w:szCs w:val="21"/>
        </w:rPr>
        <w:t xml:space="preserve"> %. Z celkové hodnoty nákladů náleží VZP ČR </w:t>
      </w:r>
      <w:r w:rsidR="00190547" w:rsidRPr="00190547">
        <w:rPr>
          <w:rFonts w:cstheme="minorHAnsi"/>
          <w:szCs w:val="21"/>
        </w:rPr>
        <w:t>0</w:t>
      </w:r>
      <w:r w:rsidRPr="00190547">
        <w:rPr>
          <w:rFonts w:cstheme="minorHAnsi"/>
          <w:szCs w:val="21"/>
        </w:rPr>
        <w:t>,</w:t>
      </w:r>
      <w:r w:rsidR="00190547" w:rsidRPr="00190547">
        <w:rPr>
          <w:rFonts w:cstheme="minorHAnsi"/>
          <w:szCs w:val="21"/>
        </w:rPr>
        <w:t>955</w:t>
      </w:r>
      <w:r w:rsidRPr="00190547">
        <w:rPr>
          <w:rFonts w:cstheme="minorHAnsi"/>
          <w:szCs w:val="21"/>
        </w:rPr>
        <w:t xml:space="preserve"> mld. Kč a ZZP celkem </w:t>
      </w:r>
      <w:r w:rsidR="00437592" w:rsidRPr="00190547">
        <w:rPr>
          <w:rFonts w:cstheme="minorHAnsi"/>
          <w:szCs w:val="21"/>
        </w:rPr>
        <w:t>1</w:t>
      </w:r>
      <w:r w:rsidRPr="00190547">
        <w:rPr>
          <w:rFonts w:cstheme="minorHAnsi"/>
          <w:szCs w:val="21"/>
        </w:rPr>
        <w:t>,</w:t>
      </w:r>
      <w:r w:rsidR="00190547" w:rsidRPr="00190547">
        <w:rPr>
          <w:rFonts w:cstheme="minorHAnsi"/>
          <w:szCs w:val="21"/>
        </w:rPr>
        <w:t>332</w:t>
      </w:r>
      <w:r w:rsidRPr="00190547">
        <w:rPr>
          <w:rFonts w:cstheme="minorHAnsi"/>
          <w:szCs w:val="21"/>
        </w:rPr>
        <w:t xml:space="preserve"> mld. Kč. V přepočtu na jednoho pojištěnce byly náklady na preventivní zdravotní péči za všechny ZP ve výši </w:t>
      </w:r>
      <w:r w:rsidR="00437592" w:rsidRPr="00190547">
        <w:rPr>
          <w:rFonts w:cstheme="minorHAnsi"/>
          <w:szCs w:val="21"/>
        </w:rPr>
        <w:t>2</w:t>
      </w:r>
      <w:r w:rsidR="00190547" w:rsidRPr="00190547">
        <w:rPr>
          <w:rFonts w:cstheme="minorHAnsi"/>
          <w:szCs w:val="21"/>
        </w:rPr>
        <w:t>10</w:t>
      </w:r>
      <w:r w:rsidRPr="00190547">
        <w:rPr>
          <w:rFonts w:cstheme="minorHAnsi"/>
          <w:szCs w:val="21"/>
        </w:rPr>
        <w:t xml:space="preserve"> Kč. U VZP ČR dosáhly náklady </w:t>
      </w:r>
      <w:r w:rsidR="00B2263E" w:rsidRPr="00190547">
        <w:rPr>
          <w:rFonts w:cstheme="minorHAnsi"/>
          <w:szCs w:val="21"/>
        </w:rPr>
        <w:t>1</w:t>
      </w:r>
      <w:r w:rsidR="00190547" w:rsidRPr="00190547">
        <w:rPr>
          <w:rFonts w:cstheme="minorHAnsi"/>
          <w:szCs w:val="21"/>
        </w:rPr>
        <w:t>55</w:t>
      </w:r>
      <w:r w:rsidR="00437592" w:rsidRPr="00190547">
        <w:rPr>
          <w:rFonts w:cstheme="minorHAnsi"/>
          <w:szCs w:val="21"/>
        </w:rPr>
        <w:t xml:space="preserve"> </w:t>
      </w:r>
      <w:r w:rsidRPr="00190547">
        <w:rPr>
          <w:rFonts w:cstheme="minorHAnsi"/>
          <w:szCs w:val="21"/>
        </w:rPr>
        <w:t xml:space="preserve">Kč a u ZZP </w:t>
      </w:r>
      <w:r w:rsidR="00190547" w:rsidRPr="00190547">
        <w:rPr>
          <w:rFonts w:cstheme="minorHAnsi"/>
          <w:szCs w:val="21"/>
        </w:rPr>
        <w:t>283</w:t>
      </w:r>
      <w:r w:rsidRPr="00190547">
        <w:rPr>
          <w:rFonts w:cstheme="minorHAnsi"/>
          <w:szCs w:val="21"/>
        </w:rPr>
        <w:t xml:space="preserve"> Kč. </w:t>
      </w:r>
    </w:p>
    <w:p w14:paraId="5DD46A7B" w14:textId="767075B3" w:rsidR="00426AFB" w:rsidRPr="00D87E5E" w:rsidRDefault="00D40C33" w:rsidP="0021299E">
      <w:pPr>
        <w:pStyle w:val="TEXTpodTABOBR"/>
        <w:spacing w:before="180" w:after="180" w:line="276" w:lineRule="auto"/>
        <w:ind w:firstLine="0"/>
        <w:rPr>
          <w:rFonts w:asciiTheme="minorHAnsi" w:hAnsiTheme="minorHAnsi" w:cstheme="minorHAnsi"/>
          <w:color w:val="222222"/>
          <w:sz w:val="21"/>
          <w:szCs w:val="21"/>
          <w:shd w:val="clear" w:color="auto" w:fill="FFFFFF"/>
        </w:rPr>
      </w:pPr>
      <w:r w:rsidRPr="00D87E5E">
        <w:rPr>
          <w:rFonts w:asciiTheme="minorHAnsi" w:hAnsiTheme="minorHAnsi" w:cstheme="minorHAnsi"/>
          <w:sz w:val="21"/>
          <w:szCs w:val="21"/>
        </w:rPr>
        <w:t>V</w:t>
      </w:r>
      <w:r w:rsidRPr="00D87E5E">
        <w:rPr>
          <w:rFonts w:asciiTheme="minorHAnsi" w:hAnsiTheme="minorHAnsi" w:cstheme="minorHAnsi"/>
          <w:color w:val="222222"/>
          <w:sz w:val="21"/>
          <w:szCs w:val="21"/>
          <w:shd w:val="clear" w:color="auto" w:fill="FFFFFF"/>
        </w:rPr>
        <w:t> souvislosti se zm</w:t>
      </w:r>
      <w:r w:rsidRPr="00D87E5E">
        <w:rPr>
          <w:rFonts w:asciiTheme="minorHAnsi" w:hAnsiTheme="minorHAnsi" w:cstheme="minorHAnsi" w:hint="eastAsia"/>
          <w:color w:val="222222"/>
          <w:sz w:val="21"/>
          <w:szCs w:val="21"/>
          <w:shd w:val="clear" w:color="auto" w:fill="FFFFFF"/>
        </w:rPr>
        <w:t>ě</w:t>
      </w:r>
      <w:r w:rsidRPr="00D87E5E">
        <w:rPr>
          <w:rFonts w:asciiTheme="minorHAnsi" w:hAnsiTheme="minorHAnsi" w:cstheme="minorHAnsi"/>
          <w:color w:val="222222"/>
          <w:sz w:val="21"/>
          <w:szCs w:val="21"/>
          <w:shd w:val="clear" w:color="auto" w:fill="FFFFFF"/>
        </w:rPr>
        <w:t>n</w:t>
      </w:r>
      <w:r w:rsidR="00D87E5E" w:rsidRPr="00D87E5E">
        <w:rPr>
          <w:rFonts w:asciiTheme="minorHAnsi" w:hAnsiTheme="minorHAnsi" w:cstheme="minorHAnsi"/>
          <w:color w:val="222222"/>
          <w:sz w:val="21"/>
          <w:szCs w:val="21"/>
          <w:shd w:val="clear" w:color="auto" w:fill="FFFFFF"/>
        </w:rPr>
        <w:t>ami</w:t>
      </w:r>
      <w:r w:rsidRPr="00D87E5E">
        <w:rPr>
          <w:rFonts w:asciiTheme="minorHAnsi" w:hAnsiTheme="minorHAnsi" w:cstheme="minorHAnsi"/>
          <w:color w:val="222222"/>
          <w:sz w:val="21"/>
          <w:szCs w:val="21"/>
          <w:shd w:val="clear" w:color="auto" w:fill="FFFFFF"/>
        </w:rPr>
        <w:t xml:space="preserve"> </w:t>
      </w:r>
      <w:r w:rsidR="001703E0" w:rsidRPr="00D87E5E">
        <w:rPr>
          <w:rFonts w:asciiTheme="minorHAnsi" w:hAnsiTheme="minorHAnsi" w:cstheme="minorHAnsi"/>
          <w:sz w:val="21"/>
          <w:szCs w:val="21"/>
        </w:rPr>
        <w:t>v zákon</w:t>
      </w:r>
      <w:r w:rsidR="00D87E5E" w:rsidRPr="00D87E5E">
        <w:rPr>
          <w:rFonts w:asciiTheme="minorHAnsi" w:hAnsiTheme="minorHAnsi" w:cstheme="minorHAnsi"/>
          <w:sz w:val="21"/>
          <w:szCs w:val="21"/>
        </w:rPr>
        <w:t>ech</w:t>
      </w:r>
      <w:r w:rsidR="001703E0" w:rsidRPr="00D87E5E">
        <w:rPr>
          <w:rFonts w:asciiTheme="minorHAnsi" w:hAnsiTheme="minorHAnsi" w:cstheme="minorHAnsi"/>
          <w:sz w:val="21"/>
          <w:szCs w:val="21"/>
        </w:rPr>
        <w:t xml:space="preserve"> č. 551/1991 Sb. a č. 280/1992 Sb.</w:t>
      </w:r>
      <w:r w:rsidRPr="00D87E5E">
        <w:rPr>
          <w:rFonts w:asciiTheme="minorHAnsi" w:hAnsiTheme="minorHAnsi" w:cstheme="minorHAnsi"/>
          <w:color w:val="222222"/>
          <w:sz w:val="21"/>
          <w:szCs w:val="21"/>
          <w:shd w:val="clear" w:color="auto" w:fill="FFFFFF"/>
        </w:rPr>
        <w:t xml:space="preserve"> účinn</w:t>
      </w:r>
      <w:r w:rsidR="00D87E5E" w:rsidRPr="00D87E5E">
        <w:rPr>
          <w:rFonts w:asciiTheme="minorHAnsi" w:hAnsiTheme="minorHAnsi" w:cstheme="minorHAnsi"/>
          <w:color w:val="222222"/>
          <w:sz w:val="21"/>
          <w:szCs w:val="21"/>
          <w:shd w:val="clear" w:color="auto" w:fill="FFFFFF"/>
        </w:rPr>
        <w:t>ými</w:t>
      </w:r>
      <w:r w:rsidRPr="00D87E5E">
        <w:rPr>
          <w:rFonts w:asciiTheme="minorHAnsi" w:hAnsiTheme="minorHAnsi" w:cstheme="minorHAnsi"/>
          <w:color w:val="222222"/>
          <w:sz w:val="21"/>
          <w:szCs w:val="21"/>
          <w:shd w:val="clear" w:color="auto" w:fill="FFFFFF"/>
        </w:rPr>
        <w:t xml:space="preserve"> od 1.</w:t>
      </w:r>
      <w:r w:rsidRPr="00D87E5E">
        <w:rPr>
          <w:rFonts w:asciiTheme="minorHAnsi" w:hAnsiTheme="minorHAnsi" w:cstheme="minorHAnsi" w:hint="eastAsia"/>
          <w:color w:val="222222"/>
          <w:sz w:val="21"/>
          <w:szCs w:val="21"/>
          <w:shd w:val="clear" w:color="auto" w:fill="FFFFFF"/>
        </w:rPr>
        <w:t> </w:t>
      </w:r>
      <w:r w:rsidRPr="00D87E5E">
        <w:rPr>
          <w:rFonts w:asciiTheme="minorHAnsi" w:hAnsiTheme="minorHAnsi" w:cstheme="minorHAnsi"/>
          <w:color w:val="222222"/>
          <w:sz w:val="21"/>
          <w:szCs w:val="21"/>
          <w:shd w:val="clear" w:color="auto" w:fill="FFFFFF"/>
        </w:rPr>
        <w:t>ledna 2023 má VZP ČR nově nastaveny shodné podmínky pro zdroje Fprev jako ZZP</w:t>
      </w:r>
      <w:r w:rsidR="00426AFB" w:rsidRPr="00D87E5E">
        <w:rPr>
          <w:rFonts w:asciiTheme="minorHAnsi" w:hAnsiTheme="minorHAnsi" w:cstheme="minorHAnsi"/>
          <w:color w:val="222222"/>
          <w:sz w:val="21"/>
          <w:szCs w:val="21"/>
          <w:shd w:val="clear" w:color="auto" w:fill="FFFFFF"/>
        </w:rPr>
        <w:t>.</w:t>
      </w:r>
      <w:r w:rsidR="00426AFB" w:rsidRPr="00D87E5E" w:rsidDel="00E132D4">
        <w:rPr>
          <w:rFonts w:asciiTheme="minorHAnsi" w:hAnsiTheme="minorHAnsi" w:cstheme="minorHAnsi"/>
          <w:color w:val="222222"/>
          <w:sz w:val="21"/>
          <w:szCs w:val="21"/>
          <w:shd w:val="clear" w:color="auto" w:fill="FFFFFF"/>
        </w:rPr>
        <w:t xml:space="preserve"> </w:t>
      </w:r>
    </w:p>
    <w:p w14:paraId="3021200C" w14:textId="4082810D" w:rsidR="000C12F5" w:rsidRPr="00D87E5E" w:rsidRDefault="001703E0" w:rsidP="00826A90">
      <w:pPr>
        <w:pStyle w:val="TEXTpodTABOBR"/>
        <w:spacing w:before="180" w:after="180" w:line="276" w:lineRule="auto"/>
        <w:ind w:firstLine="0"/>
        <w:rPr>
          <w:rFonts w:asciiTheme="minorHAnsi" w:hAnsiTheme="minorHAnsi" w:cstheme="minorHAnsi"/>
          <w:sz w:val="21"/>
          <w:szCs w:val="21"/>
        </w:rPr>
      </w:pPr>
      <w:r w:rsidRPr="00F37287">
        <w:rPr>
          <w:rFonts w:asciiTheme="minorHAnsi" w:hAnsiTheme="minorHAnsi" w:cstheme="minorHAnsi"/>
          <w:sz w:val="21"/>
          <w:szCs w:val="21"/>
        </w:rPr>
        <w:t>Nabídku zdravotně preventivních programů v roce 20</w:t>
      </w:r>
      <w:r w:rsidR="0041200D" w:rsidRPr="00F37287">
        <w:rPr>
          <w:rFonts w:asciiTheme="minorHAnsi" w:hAnsiTheme="minorHAnsi" w:cstheme="minorHAnsi"/>
          <w:sz w:val="21"/>
          <w:szCs w:val="21"/>
        </w:rPr>
        <w:t>2</w:t>
      </w:r>
      <w:r w:rsidR="00F37287" w:rsidRPr="00F37287">
        <w:rPr>
          <w:rFonts w:asciiTheme="minorHAnsi" w:hAnsiTheme="minorHAnsi" w:cstheme="minorHAnsi"/>
          <w:sz w:val="21"/>
          <w:szCs w:val="21"/>
        </w:rPr>
        <w:t>3</w:t>
      </w:r>
      <w:r w:rsidR="005022BF" w:rsidRPr="00F37287">
        <w:rPr>
          <w:rFonts w:asciiTheme="minorHAnsi" w:hAnsiTheme="minorHAnsi" w:cstheme="minorHAnsi"/>
          <w:sz w:val="21"/>
          <w:szCs w:val="21"/>
        </w:rPr>
        <w:t xml:space="preserve"> </w:t>
      </w:r>
      <w:r w:rsidRPr="00F37287">
        <w:rPr>
          <w:rFonts w:asciiTheme="minorHAnsi" w:hAnsiTheme="minorHAnsi" w:cstheme="minorHAnsi"/>
          <w:sz w:val="21"/>
          <w:szCs w:val="21"/>
        </w:rPr>
        <w:t xml:space="preserve">směřovaly ZP k realizaci preventivních programů sloužících na </w:t>
      </w:r>
      <w:r w:rsidRPr="0015083B">
        <w:rPr>
          <w:rFonts w:asciiTheme="minorHAnsi" w:hAnsiTheme="minorHAnsi" w:cstheme="minorHAnsi"/>
          <w:sz w:val="21"/>
          <w:szCs w:val="21"/>
        </w:rPr>
        <w:t>podporu rehabilitačně rekondičních aktivit vedoucích ke zlepšení zdravotního stavu účastníků zařazených do těchto programů, prevenc</w:t>
      </w:r>
      <w:r w:rsidR="003B04FE" w:rsidRPr="0015083B">
        <w:rPr>
          <w:rFonts w:asciiTheme="minorHAnsi" w:hAnsiTheme="minorHAnsi" w:cstheme="minorHAnsi"/>
          <w:sz w:val="21"/>
          <w:szCs w:val="21"/>
        </w:rPr>
        <w:t>i</w:t>
      </w:r>
      <w:r w:rsidRPr="0015083B">
        <w:rPr>
          <w:rFonts w:asciiTheme="minorHAnsi" w:hAnsiTheme="minorHAnsi" w:cstheme="minorHAnsi"/>
          <w:sz w:val="21"/>
          <w:szCs w:val="21"/>
        </w:rPr>
        <w:t xml:space="preserve"> kardiovaskulárních onemocnění,</w:t>
      </w:r>
      <w:r w:rsidR="00FF1C6C" w:rsidRPr="0015083B">
        <w:rPr>
          <w:rFonts w:asciiTheme="minorHAnsi" w:hAnsiTheme="minorHAnsi" w:cstheme="minorHAnsi"/>
          <w:sz w:val="21"/>
          <w:szCs w:val="21"/>
        </w:rPr>
        <w:t xml:space="preserve"> prevenc</w:t>
      </w:r>
      <w:r w:rsidR="003B04FE" w:rsidRPr="0015083B">
        <w:rPr>
          <w:rFonts w:asciiTheme="minorHAnsi" w:hAnsiTheme="minorHAnsi" w:cstheme="minorHAnsi"/>
          <w:sz w:val="21"/>
          <w:szCs w:val="21"/>
        </w:rPr>
        <w:t>i a kompenzaci</w:t>
      </w:r>
      <w:r w:rsidR="00FF1C6C" w:rsidRPr="0015083B">
        <w:rPr>
          <w:rFonts w:asciiTheme="minorHAnsi" w:hAnsiTheme="minorHAnsi" w:cstheme="minorHAnsi"/>
          <w:sz w:val="21"/>
          <w:szCs w:val="21"/>
        </w:rPr>
        <w:t xml:space="preserve"> onemocnění diabetes mellitus,</w:t>
      </w:r>
      <w:r w:rsidRPr="0015083B">
        <w:rPr>
          <w:rFonts w:asciiTheme="minorHAnsi" w:hAnsiTheme="minorHAnsi" w:cstheme="minorHAnsi"/>
          <w:sz w:val="21"/>
          <w:szCs w:val="21"/>
        </w:rPr>
        <w:t xml:space="preserve"> včasn</w:t>
      </w:r>
      <w:r w:rsidR="003B04FE" w:rsidRPr="0015083B">
        <w:rPr>
          <w:rFonts w:asciiTheme="minorHAnsi" w:hAnsiTheme="minorHAnsi" w:cstheme="minorHAnsi"/>
          <w:sz w:val="21"/>
          <w:szCs w:val="21"/>
        </w:rPr>
        <w:t>ého</w:t>
      </w:r>
      <w:r w:rsidR="0020796B" w:rsidRPr="0015083B">
        <w:rPr>
          <w:rFonts w:asciiTheme="minorHAnsi" w:hAnsiTheme="minorHAnsi" w:cstheme="minorHAnsi"/>
          <w:sz w:val="21"/>
          <w:szCs w:val="21"/>
        </w:rPr>
        <w:t xml:space="preserve"> </w:t>
      </w:r>
      <w:r w:rsidRPr="0015083B">
        <w:rPr>
          <w:rFonts w:asciiTheme="minorHAnsi" w:hAnsiTheme="minorHAnsi" w:cstheme="minorHAnsi"/>
          <w:sz w:val="21"/>
          <w:szCs w:val="21"/>
        </w:rPr>
        <w:t>záchyt</w:t>
      </w:r>
      <w:r w:rsidR="003B04FE" w:rsidRPr="0015083B">
        <w:rPr>
          <w:rFonts w:asciiTheme="minorHAnsi" w:hAnsiTheme="minorHAnsi" w:cstheme="minorHAnsi"/>
          <w:sz w:val="21"/>
          <w:szCs w:val="21"/>
        </w:rPr>
        <w:t>u</w:t>
      </w:r>
      <w:r w:rsidRPr="0015083B">
        <w:rPr>
          <w:rFonts w:asciiTheme="minorHAnsi" w:hAnsiTheme="minorHAnsi" w:cstheme="minorHAnsi"/>
          <w:sz w:val="21"/>
          <w:szCs w:val="21"/>
        </w:rPr>
        <w:t xml:space="preserve"> onkologických a</w:t>
      </w:r>
      <w:r w:rsidR="0050279A" w:rsidRPr="0015083B">
        <w:rPr>
          <w:rFonts w:asciiTheme="minorHAnsi" w:hAnsiTheme="minorHAnsi" w:cstheme="minorHAnsi"/>
          <w:sz w:val="21"/>
          <w:szCs w:val="21"/>
        </w:rPr>
        <w:t> </w:t>
      </w:r>
      <w:r w:rsidRPr="0015083B">
        <w:rPr>
          <w:rFonts w:asciiTheme="minorHAnsi" w:hAnsiTheme="minorHAnsi" w:cstheme="minorHAnsi"/>
          <w:sz w:val="21"/>
          <w:szCs w:val="21"/>
        </w:rPr>
        <w:t>jiných závažných onemocnění</w:t>
      </w:r>
      <w:r w:rsidR="00CD4B95">
        <w:rPr>
          <w:rFonts w:asciiTheme="minorHAnsi" w:hAnsiTheme="minorHAnsi" w:cstheme="minorHAnsi"/>
          <w:sz w:val="21"/>
          <w:szCs w:val="21"/>
        </w:rPr>
        <w:t xml:space="preserve"> (např. Alzheimerova choroba</w:t>
      </w:r>
      <w:r w:rsidRPr="0015083B">
        <w:rPr>
          <w:rFonts w:asciiTheme="minorHAnsi" w:hAnsiTheme="minorHAnsi" w:cstheme="minorHAnsi"/>
          <w:sz w:val="21"/>
          <w:szCs w:val="21"/>
        </w:rPr>
        <w:t xml:space="preserve">, </w:t>
      </w:r>
      <w:r w:rsidR="0020796B" w:rsidRPr="0015083B">
        <w:rPr>
          <w:rFonts w:asciiTheme="minorHAnsi" w:hAnsiTheme="minorHAnsi" w:cstheme="minorHAnsi"/>
          <w:sz w:val="21"/>
          <w:szCs w:val="21"/>
        </w:rPr>
        <w:t>prevenc</w:t>
      </w:r>
      <w:r w:rsidR="003B04FE" w:rsidRPr="0015083B">
        <w:rPr>
          <w:rFonts w:asciiTheme="minorHAnsi" w:hAnsiTheme="minorHAnsi" w:cstheme="minorHAnsi"/>
          <w:sz w:val="21"/>
          <w:szCs w:val="21"/>
        </w:rPr>
        <w:t xml:space="preserve">i a </w:t>
      </w:r>
      <w:r w:rsidR="0015083B" w:rsidRPr="0015083B">
        <w:rPr>
          <w:rFonts w:asciiTheme="minorHAnsi" w:hAnsiTheme="minorHAnsi" w:cstheme="minorHAnsi"/>
          <w:sz w:val="21"/>
          <w:szCs w:val="21"/>
        </w:rPr>
        <w:t>zvýšení dostupnosti služeb</w:t>
      </w:r>
      <w:r w:rsidR="0020796B" w:rsidRPr="0015083B">
        <w:rPr>
          <w:rFonts w:asciiTheme="minorHAnsi" w:hAnsiTheme="minorHAnsi" w:cstheme="minorHAnsi"/>
          <w:sz w:val="21"/>
          <w:szCs w:val="21"/>
        </w:rPr>
        <w:t xml:space="preserve"> v oblasti duševního zdraví, </w:t>
      </w:r>
      <w:r w:rsidRPr="0015083B">
        <w:rPr>
          <w:rFonts w:asciiTheme="minorHAnsi" w:hAnsiTheme="minorHAnsi" w:cstheme="minorHAnsi"/>
          <w:sz w:val="21"/>
          <w:szCs w:val="21"/>
        </w:rPr>
        <w:t>očkování proti infekčním onemocněním s nebezpečnými následky</w:t>
      </w:r>
      <w:r w:rsidR="00B63C20">
        <w:rPr>
          <w:rFonts w:asciiTheme="minorHAnsi" w:hAnsiTheme="minorHAnsi" w:cstheme="minorHAnsi"/>
          <w:sz w:val="21"/>
          <w:szCs w:val="21"/>
        </w:rPr>
        <w:t xml:space="preserve"> </w:t>
      </w:r>
      <w:r w:rsidR="00B63C20" w:rsidRPr="00AF5F72">
        <w:rPr>
          <w:rFonts w:asciiTheme="minorHAnsi" w:hAnsiTheme="minorHAnsi" w:cstheme="minorHAnsi"/>
          <w:sz w:val="21"/>
          <w:szCs w:val="21"/>
        </w:rPr>
        <w:t>nehrazené z veřejného zdravotního pojištění</w:t>
      </w:r>
      <w:r w:rsidRPr="0015083B">
        <w:rPr>
          <w:rFonts w:asciiTheme="minorHAnsi" w:hAnsiTheme="minorHAnsi" w:cstheme="minorHAnsi"/>
          <w:sz w:val="21"/>
          <w:szCs w:val="21"/>
        </w:rPr>
        <w:t>, prevenc</w:t>
      </w:r>
      <w:r w:rsidR="001B6DEF" w:rsidRPr="0015083B">
        <w:rPr>
          <w:rFonts w:asciiTheme="minorHAnsi" w:hAnsiTheme="minorHAnsi" w:cstheme="minorHAnsi"/>
          <w:sz w:val="21"/>
          <w:szCs w:val="21"/>
        </w:rPr>
        <w:t>i a</w:t>
      </w:r>
      <w:r w:rsidR="008E7027" w:rsidRPr="0015083B">
        <w:rPr>
          <w:rFonts w:asciiTheme="minorHAnsi" w:hAnsiTheme="minorHAnsi" w:cstheme="minorHAnsi"/>
          <w:sz w:val="21"/>
          <w:szCs w:val="21"/>
        </w:rPr>
        <w:t> </w:t>
      </w:r>
      <w:r w:rsidR="001B6DEF" w:rsidRPr="0015083B">
        <w:rPr>
          <w:rFonts w:asciiTheme="minorHAnsi" w:hAnsiTheme="minorHAnsi" w:cstheme="minorHAnsi"/>
          <w:sz w:val="21"/>
          <w:szCs w:val="21"/>
        </w:rPr>
        <w:t>kompenzaci</w:t>
      </w:r>
      <w:r w:rsidRPr="0015083B">
        <w:rPr>
          <w:rFonts w:asciiTheme="minorHAnsi" w:hAnsiTheme="minorHAnsi" w:cstheme="minorHAnsi"/>
          <w:sz w:val="21"/>
          <w:szCs w:val="21"/>
        </w:rPr>
        <w:t xml:space="preserve"> následků onemocnění celiakií</w:t>
      </w:r>
      <w:r w:rsidR="0020796B" w:rsidRPr="0015083B">
        <w:rPr>
          <w:rFonts w:asciiTheme="minorHAnsi" w:hAnsiTheme="minorHAnsi" w:cstheme="minorHAnsi"/>
          <w:sz w:val="21"/>
          <w:szCs w:val="21"/>
        </w:rPr>
        <w:t xml:space="preserve"> a dědičným metabolickým onemocnění</w:t>
      </w:r>
      <w:r w:rsidR="000C12F5" w:rsidRPr="0015083B">
        <w:rPr>
          <w:rFonts w:asciiTheme="minorHAnsi" w:hAnsiTheme="minorHAnsi" w:cstheme="minorHAnsi"/>
          <w:sz w:val="21"/>
          <w:szCs w:val="21"/>
        </w:rPr>
        <w:t>m</w:t>
      </w:r>
      <w:r w:rsidRPr="0015083B">
        <w:rPr>
          <w:rFonts w:asciiTheme="minorHAnsi" w:hAnsiTheme="minorHAnsi" w:cstheme="minorHAnsi"/>
          <w:sz w:val="21"/>
          <w:szCs w:val="21"/>
        </w:rPr>
        <w:t>,</w:t>
      </w:r>
      <w:r w:rsidR="000C12F5" w:rsidRPr="0015083B">
        <w:rPr>
          <w:rFonts w:asciiTheme="minorHAnsi" w:hAnsiTheme="minorHAnsi" w:cstheme="minorHAnsi"/>
          <w:sz w:val="21"/>
          <w:szCs w:val="21"/>
        </w:rPr>
        <w:t xml:space="preserve"> dentální hygien</w:t>
      </w:r>
      <w:r w:rsidR="0015083B" w:rsidRPr="0015083B">
        <w:rPr>
          <w:rFonts w:asciiTheme="minorHAnsi" w:hAnsiTheme="minorHAnsi" w:cstheme="minorHAnsi"/>
          <w:sz w:val="21"/>
          <w:szCs w:val="21"/>
        </w:rPr>
        <w:t>u</w:t>
      </w:r>
      <w:r w:rsidR="000C12F5" w:rsidRPr="0015083B">
        <w:rPr>
          <w:rFonts w:asciiTheme="minorHAnsi" w:hAnsiTheme="minorHAnsi" w:cstheme="minorHAnsi"/>
          <w:sz w:val="21"/>
          <w:szCs w:val="21"/>
        </w:rPr>
        <w:t>,</w:t>
      </w:r>
      <w:r w:rsidRPr="0015083B">
        <w:rPr>
          <w:rFonts w:asciiTheme="minorHAnsi" w:hAnsiTheme="minorHAnsi" w:cstheme="minorHAnsi"/>
          <w:sz w:val="21"/>
          <w:szCs w:val="21"/>
        </w:rPr>
        <w:t xml:space="preserve"> </w:t>
      </w:r>
      <w:r w:rsidR="00F35266" w:rsidRPr="0015083B">
        <w:rPr>
          <w:rFonts w:asciiTheme="minorHAnsi" w:hAnsiTheme="minorHAnsi" w:cstheme="minorHAnsi"/>
          <w:sz w:val="21"/>
          <w:szCs w:val="21"/>
        </w:rPr>
        <w:t>podpor</w:t>
      </w:r>
      <w:r w:rsidR="001B6DEF" w:rsidRPr="0015083B">
        <w:rPr>
          <w:rFonts w:asciiTheme="minorHAnsi" w:hAnsiTheme="minorHAnsi" w:cstheme="minorHAnsi"/>
          <w:sz w:val="21"/>
          <w:szCs w:val="21"/>
        </w:rPr>
        <w:t>y</w:t>
      </w:r>
      <w:r w:rsidR="00F35266" w:rsidRPr="0015083B">
        <w:rPr>
          <w:rFonts w:asciiTheme="minorHAnsi" w:hAnsiTheme="minorHAnsi" w:cstheme="minorHAnsi"/>
          <w:sz w:val="21"/>
          <w:szCs w:val="21"/>
        </w:rPr>
        <w:t xml:space="preserve"> </w:t>
      </w:r>
      <w:r w:rsidRPr="0015083B">
        <w:rPr>
          <w:rFonts w:asciiTheme="minorHAnsi" w:hAnsiTheme="minorHAnsi" w:cstheme="minorHAnsi"/>
          <w:sz w:val="21"/>
          <w:szCs w:val="21"/>
        </w:rPr>
        <w:t>pro dárce krve, plazmy a</w:t>
      </w:r>
      <w:r w:rsidR="00BC23C9" w:rsidRPr="0015083B">
        <w:rPr>
          <w:rFonts w:asciiTheme="minorHAnsi" w:hAnsiTheme="minorHAnsi" w:cstheme="minorHAnsi"/>
          <w:sz w:val="21"/>
          <w:szCs w:val="21"/>
        </w:rPr>
        <w:t> </w:t>
      </w:r>
      <w:r w:rsidRPr="0015083B">
        <w:rPr>
          <w:rFonts w:asciiTheme="minorHAnsi" w:hAnsiTheme="minorHAnsi" w:cstheme="minorHAnsi"/>
          <w:sz w:val="21"/>
          <w:szCs w:val="21"/>
        </w:rPr>
        <w:t>kostní dřeně, pro ženy v souvislosti s těhotenstvím a</w:t>
      </w:r>
      <w:r w:rsidR="0050279A" w:rsidRPr="0015083B">
        <w:rPr>
          <w:rFonts w:asciiTheme="minorHAnsi" w:hAnsiTheme="minorHAnsi" w:cstheme="minorHAnsi"/>
          <w:sz w:val="21"/>
          <w:szCs w:val="21"/>
        </w:rPr>
        <w:t> </w:t>
      </w:r>
      <w:r w:rsidRPr="0015083B">
        <w:rPr>
          <w:rFonts w:asciiTheme="minorHAnsi" w:hAnsiTheme="minorHAnsi" w:cstheme="minorHAnsi"/>
          <w:sz w:val="21"/>
          <w:szCs w:val="21"/>
        </w:rPr>
        <w:t>porodem</w:t>
      </w:r>
      <w:r w:rsidR="000C12F5" w:rsidRPr="00D87E5E">
        <w:rPr>
          <w:rFonts w:asciiTheme="minorHAnsi" w:hAnsiTheme="minorHAnsi" w:cstheme="minorHAnsi"/>
          <w:sz w:val="21"/>
          <w:szCs w:val="21"/>
        </w:rPr>
        <w:t xml:space="preserve">, </w:t>
      </w:r>
      <w:r w:rsidRPr="00D87E5E">
        <w:rPr>
          <w:rFonts w:asciiTheme="minorHAnsi" w:hAnsiTheme="minorHAnsi" w:cstheme="minorHAnsi"/>
          <w:sz w:val="21"/>
          <w:szCs w:val="21"/>
        </w:rPr>
        <w:t xml:space="preserve">a dále na projekty podporující zvýšení kvality zdravotní péče, zdravý způsob života a </w:t>
      </w:r>
      <w:r w:rsidR="00A54D12">
        <w:rPr>
          <w:rFonts w:asciiTheme="minorHAnsi" w:hAnsiTheme="minorHAnsi" w:cstheme="minorHAnsi"/>
          <w:sz w:val="21"/>
          <w:szCs w:val="21"/>
        </w:rPr>
        <w:t>s</w:t>
      </w:r>
      <w:r w:rsidR="00A54D12" w:rsidRPr="00AF5F72">
        <w:rPr>
          <w:rFonts w:asciiTheme="minorHAnsi" w:hAnsiTheme="minorHAnsi" w:cstheme="minorHAnsi"/>
          <w:sz w:val="21"/>
          <w:szCs w:val="21"/>
        </w:rPr>
        <w:t>portovní aktivity</w:t>
      </w:r>
      <w:r w:rsidRPr="00D87E5E">
        <w:rPr>
          <w:rFonts w:asciiTheme="minorHAnsi" w:hAnsiTheme="minorHAnsi" w:cstheme="minorHAnsi"/>
          <w:sz w:val="21"/>
          <w:szCs w:val="21"/>
        </w:rPr>
        <w:t>.</w:t>
      </w:r>
      <w:r w:rsidR="0008686F" w:rsidRPr="00D87E5E">
        <w:rPr>
          <w:rFonts w:asciiTheme="minorHAnsi" w:hAnsiTheme="minorHAnsi" w:cstheme="minorHAnsi"/>
          <w:sz w:val="21"/>
          <w:szCs w:val="21"/>
        </w:rPr>
        <w:t xml:space="preserve"> </w:t>
      </w:r>
    </w:p>
    <w:p w14:paraId="558B4B9E" w14:textId="2D02B53F" w:rsidR="001703E0" w:rsidRPr="00CD4B95" w:rsidRDefault="001703E0" w:rsidP="0021299E">
      <w:pPr>
        <w:pStyle w:val="TEXT"/>
        <w:spacing w:before="180" w:after="180" w:line="276" w:lineRule="auto"/>
        <w:ind w:firstLine="0"/>
        <w:rPr>
          <w:rFonts w:asciiTheme="minorHAnsi" w:hAnsiTheme="minorHAnsi" w:cstheme="minorHAnsi"/>
          <w:sz w:val="21"/>
          <w:szCs w:val="21"/>
        </w:rPr>
      </w:pPr>
      <w:r w:rsidRPr="00CD4B95">
        <w:rPr>
          <w:rFonts w:asciiTheme="minorHAnsi" w:hAnsiTheme="minorHAnsi" w:cstheme="minorHAnsi"/>
          <w:sz w:val="21"/>
          <w:szCs w:val="21"/>
        </w:rPr>
        <w:t>V rámci prevence byly také podporovány léčebně-ozdravné pobyty pro chronicky nemocné děti v oblastech s</w:t>
      </w:r>
      <w:r w:rsidR="001B6DEF" w:rsidRPr="00CD4B95">
        <w:rPr>
          <w:rFonts w:asciiTheme="minorHAnsi" w:hAnsiTheme="minorHAnsi" w:cstheme="minorHAnsi"/>
          <w:sz w:val="21"/>
          <w:szCs w:val="21"/>
        </w:rPr>
        <w:t> </w:t>
      </w:r>
      <w:r w:rsidRPr="00CD4B95">
        <w:rPr>
          <w:rFonts w:asciiTheme="minorHAnsi" w:hAnsiTheme="minorHAnsi" w:cstheme="minorHAnsi"/>
          <w:sz w:val="21"/>
          <w:szCs w:val="21"/>
        </w:rPr>
        <w:t>prokazatelně pozitivními vlivy na zdravotní stav dětí (vysokohorské nebo přímořské oblasti).</w:t>
      </w:r>
      <w:r w:rsidR="00F35266" w:rsidRPr="00CD4B95">
        <w:rPr>
          <w:rFonts w:asciiTheme="minorHAnsi" w:hAnsiTheme="minorHAnsi" w:cstheme="minorHAnsi"/>
          <w:sz w:val="21"/>
          <w:szCs w:val="21"/>
        </w:rPr>
        <w:t xml:space="preserve"> </w:t>
      </w:r>
      <w:r w:rsidR="00334B56" w:rsidRPr="00CD4B95">
        <w:rPr>
          <w:rFonts w:asciiTheme="minorHAnsi" w:hAnsiTheme="minorHAnsi" w:cstheme="minorHAnsi"/>
          <w:sz w:val="21"/>
          <w:szCs w:val="21"/>
        </w:rPr>
        <w:t>Tyto pobyty byly realizovány všemi ZP s výjimkou VZP</w:t>
      </w:r>
      <w:r w:rsidR="008E7027" w:rsidRPr="00CD4B95">
        <w:rPr>
          <w:rFonts w:asciiTheme="minorHAnsi" w:hAnsiTheme="minorHAnsi" w:cstheme="minorHAnsi"/>
          <w:sz w:val="21"/>
          <w:szCs w:val="21"/>
        </w:rPr>
        <w:t xml:space="preserve"> ČR</w:t>
      </w:r>
      <w:r w:rsidR="004457A3" w:rsidRPr="00CD4B95">
        <w:t>.</w:t>
      </w:r>
    </w:p>
    <w:p w14:paraId="5BE0E0D6" w14:textId="4FC1AD57" w:rsidR="001703E0" w:rsidRPr="00F37287" w:rsidRDefault="001703E0" w:rsidP="001703E0">
      <w:pPr>
        <w:pStyle w:val="TEXT"/>
        <w:spacing w:before="180" w:after="180" w:line="276" w:lineRule="auto"/>
        <w:ind w:firstLine="0"/>
        <w:rPr>
          <w:rFonts w:asciiTheme="minorHAnsi" w:hAnsiTheme="minorHAnsi" w:cstheme="minorHAnsi"/>
          <w:sz w:val="21"/>
          <w:szCs w:val="21"/>
        </w:rPr>
      </w:pPr>
      <w:r w:rsidRPr="00F37287">
        <w:rPr>
          <w:rFonts w:asciiTheme="minorHAnsi" w:hAnsiTheme="minorHAnsi" w:cstheme="minorHAnsi"/>
          <w:sz w:val="21"/>
          <w:szCs w:val="21"/>
        </w:rPr>
        <w:t>Podmínky pro čerpání prostředků z fondu prevence stanoví zvlášť každá ZP a MZ nemá zákonnou pravomoc do</w:t>
      </w:r>
      <w:r w:rsidR="003D5AD1" w:rsidRPr="00F37287">
        <w:rPr>
          <w:rFonts w:asciiTheme="minorHAnsi" w:hAnsiTheme="minorHAnsi" w:cstheme="minorHAnsi"/>
          <w:sz w:val="21"/>
          <w:szCs w:val="21"/>
        </w:rPr>
        <w:t> </w:t>
      </w:r>
      <w:r w:rsidRPr="00F37287">
        <w:rPr>
          <w:rFonts w:asciiTheme="minorHAnsi" w:hAnsiTheme="minorHAnsi" w:cstheme="minorHAnsi"/>
          <w:sz w:val="21"/>
          <w:szCs w:val="21"/>
        </w:rPr>
        <w:t>nich zasahovat, pakliže nejsou výslovně v rozporu s účelem fondu prevence. Závisí zcela na rozhodnutí ZP, jaké</w:t>
      </w:r>
      <w:r w:rsidR="003D5AD1" w:rsidRPr="00F37287">
        <w:rPr>
          <w:rFonts w:asciiTheme="minorHAnsi" w:hAnsiTheme="minorHAnsi" w:cstheme="minorHAnsi"/>
          <w:sz w:val="21"/>
          <w:szCs w:val="21"/>
        </w:rPr>
        <w:t> </w:t>
      </w:r>
      <w:r w:rsidRPr="00F37287">
        <w:rPr>
          <w:rFonts w:asciiTheme="minorHAnsi" w:hAnsiTheme="minorHAnsi" w:cstheme="minorHAnsi"/>
          <w:sz w:val="21"/>
          <w:szCs w:val="21"/>
        </w:rPr>
        <w:t>preventivní programy vyhovující příslušnému ustanovení zákona a za jakých podmínek svým pojištěncům nabídne</w:t>
      </w:r>
      <w:r w:rsidR="001B6DEF" w:rsidRPr="00F37287">
        <w:rPr>
          <w:rStyle w:val="Znakapoznpodarou"/>
          <w:rFonts w:asciiTheme="minorHAnsi" w:hAnsiTheme="minorHAnsi" w:cstheme="minorHAnsi"/>
          <w:sz w:val="21"/>
          <w:szCs w:val="21"/>
        </w:rPr>
        <w:footnoteReference w:id="9"/>
      </w:r>
      <w:r w:rsidRPr="00F37287">
        <w:rPr>
          <w:rFonts w:asciiTheme="minorHAnsi" w:hAnsiTheme="minorHAnsi" w:cstheme="minorHAnsi"/>
          <w:sz w:val="21"/>
          <w:szCs w:val="21"/>
        </w:rPr>
        <w:t>. Konkrétní výše těchto příspěvků a konkrétní podmínky pro jejich poskytnutí nejsou řízeny zvláštním právním předpisem, nýbrž je pojišťovna sama, dle svého uvážení, může určit.</w:t>
      </w:r>
    </w:p>
    <w:p w14:paraId="5D1E55EB" w14:textId="2C2108F1" w:rsidR="001703E0" w:rsidRPr="00B97C2C" w:rsidRDefault="001703E0" w:rsidP="0021299E">
      <w:pPr>
        <w:pStyle w:val="Titulek"/>
        <w:jc w:val="both"/>
      </w:pPr>
      <w:bookmarkStart w:id="68" w:name="_Toc41837508"/>
      <w:bookmarkStart w:id="69" w:name="_Toc168993241"/>
      <w:r w:rsidRPr="00B97C2C">
        <w:t xml:space="preserve">Tabulka č. </w:t>
      </w:r>
      <w:r w:rsidRPr="00B97C2C">
        <w:rPr>
          <w:noProof/>
        </w:rPr>
        <w:fldChar w:fldCharType="begin"/>
      </w:r>
      <w:r w:rsidRPr="00B97C2C">
        <w:rPr>
          <w:noProof/>
        </w:rPr>
        <w:instrText xml:space="preserve"> SEQ Tabulka \* ARABIC </w:instrText>
      </w:r>
      <w:r w:rsidRPr="00B97C2C">
        <w:rPr>
          <w:noProof/>
        </w:rPr>
        <w:fldChar w:fldCharType="separate"/>
      </w:r>
      <w:r w:rsidR="00904274">
        <w:rPr>
          <w:noProof/>
        </w:rPr>
        <w:t>16</w:t>
      </w:r>
      <w:r w:rsidRPr="00B97C2C">
        <w:rPr>
          <w:noProof/>
        </w:rPr>
        <w:fldChar w:fldCharType="end"/>
      </w:r>
      <w:r w:rsidRPr="00B97C2C">
        <w:t xml:space="preserve">: Vývoj nákladů na preventivní zdravotní péči </w:t>
      </w:r>
      <w:r w:rsidR="001B6DEF" w:rsidRPr="00B97C2C">
        <w:t xml:space="preserve">a další programy </w:t>
      </w:r>
      <w:r w:rsidRPr="00B97C2C">
        <w:t>čerpaných z fondu prevence ZP a</w:t>
      </w:r>
      <w:r w:rsidR="0050279A" w:rsidRPr="00B97C2C">
        <w:t> </w:t>
      </w:r>
      <w:r w:rsidRPr="00B97C2C">
        <w:t>specifických fondů VoZP ČR</w:t>
      </w:r>
      <w:bookmarkEnd w:id="68"/>
      <w:bookmarkEnd w:id="69"/>
      <w:r w:rsidRPr="00B97C2C">
        <w:t xml:space="preserve"> </w:t>
      </w:r>
    </w:p>
    <w:tbl>
      <w:tblPr>
        <w:tblW w:w="9080" w:type="dxa"/>
        <w:tblCellMar>
          <w:left w:w="70" w:type="dxa"/>
          <w:right w:w="70" w:type="dxa"/>
        </w:tblCellMar>
        <w:tblLook w:val="04A0" w:firstRow="1" w:lastRow="0" w:firstColumn="1" w:lastColumn="0" w:noHBand="0" w:noVBand="1"/>
      </w:tblPr>
      <w:tblGrid>
        <w:gridCol w:w="2080"/>
        <w:gridCol w:w="1000"/>
        <w:gridCol w:w="1000"/>
        <w:gridCol w:w="1000"/>
        <w:gridCol w:w="1000"/>
        <w:gridCol w:w="1000"/>
        <w:gridCol w:w="1000"/>
        <w:gridCol w:w="1000"/>
      </w:tblGrid>
      <w:tr w:rsidR="00D475AD" w:rsidRPr="00D475AD" w14:paraId="19F0CB78" w14:textId="77777777" w:rsidTr="00D475AD">
        <w:trPr>
          <w:trHeight w:val="600"/>
        </w:trPr>
        <w:tc>
          <w:tcPr>
            <w:tcW w:w="2080" w:type="dxa"/>
            <w:tcBorders>
              <w:top w:val="single" w:sz="8" w:space="0" w:color="4F81BD"/>
              <w:left w:val="single" w:sz="8" w:space="0" w:color="4F81BD"/>
              <w:bottom w:val="nil"/>
              <w:right w:val="nil"/>
            </w:tcBorders>
            <w:shd w:val="clear" w:color="000000" w:fill="4F81BD"/>
            <w:hideMark/>
          </w:tcPr>
          <w:p w14:paraId="5EE9E0F7" w14:textId="77777777" w:rsidR="00D475AD" w:rsidRPr="00D475AD" w:rsidRDefault="00D475AD" w:rsidP="00D475AD">
            <w:pPr>
              <w:spacing w:after="0" w:line="240" w:lineRule="auto"/>
              <w:rPr>
                <w:rFonts w:ascii="Calibri" w:eastAsia="Times New Roman" w:hAnsi="Calibri" w:cs="Calibri"/>
                <w:b/>
                <w:bCs/>
                <w:color w:val="FFFFFF"/>
                <w:szCs w:val="21"/>
                <w:lang w:eastAsia="cs-CZ"/>
              </w:rPr>
            </w:pPr>
            <w:r w:rsidRPr="00D475AD">
              <w:rPr>
                <w:rFonts w:ascii="Calibri" w:eastAsia="Times New Roman" w:hAnsi="Calibri" w:cs="Calibri"/>
                <w:b/>
                <w:bCs/>
                <w:color w:val="FFFFFF"/>
                <w:szCs w:val="21"/>
                <w:lang w:eastAsia="cs-CZ"/>
              </w:rPr>
              <w:t>Ukazatel</w:t>
            </w:r>
            <w:r w:rsidRPr="00D475AD">
              <w:rPr>
                <w:rFonts w:ascii="Calibri" w:eastAsia="Times New Roman" w:hAnsi="Calibri" w:cs="Calibri"/>
                <w:b/>
                <w:bCs/>
                <w:color w:val="FFFFFF"/>
                <w:szCs w:val="21"/>
                <w:lang w:eastAsia="cs-CZ"/>
              </w:rPr>
              <w:br/>
            </w:r>
            <w:r w:rsidRPr="00D475AD">
              <w:rPr>
                <w:rFonts w:ascii="Calibri" w:eastAsia="Times New Roman" w:hAnsi="Calibri" w:cs="Calibri"/>
                <w:color w:val="FFFFFF"/>
                <w:szCs w:val="21"/>
                <w:lang w:eastAsia="cs-CZ"/>
              </w:rPr>
              <w:t>(v mil. Kč)</w:t>
            </w:r>
          </w:p>
        </w:tc>
        <w:tc>
          <w:tcPr>
            <w:tcW w:w="1000" w:type="dxa"/>
            <w:tcBorders>
              <w:top w:val="single" w:sz="8" w:space="0" w:color="4F81BD"/>
              <w:left w:val="nil"/>
              <w:bottom w:val="nil"/>
              <w:right w:val="nil"/>
            </w:tcBorders>
            <w:shd w:val="clear" w:color="000000" w:fill="6691C6"/>
            <w:hideMark/>
          </w:tcPr>
          <w:p w14:paraId="4D6852EC" w14:textId="77777777" w:rsidR="00D475AD" w:rsidRPr="00D475AD" w:rsidRDefault="00D475AD" w:rsidP="00D475AD">
            <w:pPr>
              <w:spacing w:after="0" w:line="240" w:lineRule="auto"/>
              <w:jc w:val="center"/>
              <w:rPr>
                <w:rFonts w:ascii="Calibri" w:eastAsia="Times New Roman" w:hAnsi="Calibri" w:cs="Calibri"/>
                <w:b/>
                <w:bCs/>
                <w:color w:val="FFFFFF"/>
                <w:szCs w:val="21"/>
                <w:lang w:eastAsia="cs-CZ"/>
              </w:rPr>
            </w:pPr>
            <w:r w:rsidRPr="00D475AD">
              <w:rPr>
                <w:rFonts w:ascii="Calibri" w:eastAsia="Times New Roman" w:hAnsi="Calibri" w:cs="Calibri"/>
                <w:b/>
                <w:bCs/>
                <w:color w:val="FFFFFF"/>
                <w:szCs w:val="21"/>
                <w:lang w:eastAsia="cs-CZ"/>
              </w:rPr>
              <w:t>2018</w:t>
            </w:r>
          </w:p>
        </w:tc>
        <w:tc>
          <w:tcPr>
            <w:tcW w:w="1000" w:type="dxa"/>
            <w:tcBorders>
              <w:top w:val="single" w:sz="8" w:space="0" w:color="4F81BD"/>
              <w:left w:val="nil"/>
              <w:bottom w:val="nil"/>
              <w:right w:val="nil"/>
            </w:tcBorders>
            <w:shd w:val="clear" w:color="000000" w:fill="4F81BD"/>
            <w:hideMark/>
          </w:tcPr>
          <w:p w14:paraId="364216DB" w14:textId="77777777" w:rsidR="00D475AD" w:rsidRPr="00D475AD" w:rsidRDefault="00D475AD" w:rsidP="00D475AD">
            <w:pPr>
              <w:spacing w:after="0" w:line="240" w:lineRule="auto"/>
              <w:jc w:val="center"/>
              <w:rPr>
                <w:rFonts w:ascii="Calibri" w:eastAsia="Times New Roman" w:hAnsi="Calibri" w:cs="Calibri"/>
                <w:b/>
                <w:bCs/>
                <w:color w:val="FFFFFF"/>
                <w:szCs w:val="21"/>
                <w:lang w:eastAsia="cs-CZ"/>
              </w:rPr>
            </w:pPr>
            <w:r w:rsidRPr="00D475AD">
              <w:rPr>
                <w:rFonts w:ascii="Calibri" w:eastAsia="Times New Roman" w:hAnsi="Calibri" w:cs="Calibri"/>
                <w:b/>
                <w:bCs/>
                <w:color w:val="FFFFFF"/>
                <w:szCs w:val="21"/>
                <w:lang w:eastAsia="cs-CZ"/>
              </w:rPr>
              <w:t>2019</w:t>
            </w:r>
          </w:p>
        </w:tc>
        <w:tc>
          <w:tcPr>
            <w:tcW w:w="1000" w:type="dxa"/>
            <w:tcBorders>
              <w:top w:val="single" w:sz="8" w:space="0" w:color="4F81BD"/>
              <w:left w:val="nil"/>
              <w:bottom w:val="nil"/>
              <w:right w:val="nil"/>
            </w:tcBorders>
            <w:shd w:val="clear" w:color="000000" w:fill="6691C6"/>
            <w:hideMark/>
          </w:tcPr>
          <w:p w14:paraId="20739159" w14:textId="77777777" w:rsidR="00D475AD" w:rsidRPr="00D475AD" w:rsidRDefault="00D475AD" w:rsidP="00D475AD">
            <w:pPr>
              <w:spacing w:after="0" w:line="240" w:lineRule="auto"/>
              <w:jc w:val="center"/>
              <w:rPr>
                <w:rFonts w:ascii="Calibri" w:eastAsia="Times New Roman" w:hAnsi="Calibri" w:cs="Calibri"/>
                <w:b/>
                <w:bCs/>
                <w:color w:val="FFFFFF"/>
                <w:szCs w:val="21"/>
                <w:lang w:eastAsia="cs-CZ"/>
              </w:rPr>
            </w:pPr>
            <w:r w:rsidRPr="00D475AD">
              <w:rPr>
                <w:rFonts w:ascii="Calibri" w:eastAsia="Times New Roman" w:hAnsi="Calibri" w:cs="Calibri"/>
                <w:b/>
                <w:bCs/>
                <w:color w:val="FFFFFF"/>
                <w:szCs w:val="21"/>
                <w:lang w:eastAsia="cs-CZ"/>
              </w:rPr>
              <w:t>2020</w:t>
            </w:r>
          </w:p>
        </w:tc>
        <w:tc>
          <w:tcPr>
            <w:tcW w:w="1000" w:type="dxa"/>
            <w:tcBorders>
              <w:top w:val="single" w:sz="8" w:space="0" w:color="4F81BD"/>
              <w:left w:val="nil"/>
              <w:bottom w:val="nil"/>
              <w:right w:val="nil"/>
            </w:tcBorders>
            <w:shd w:val="clear" w:color="000000" w:fill="4F81BD"/>
            <w:hideMark/>
          </w:tcPr>
          <w:p w14:paraId="0C9BC93E" w14:textId="77777777" w:rsidR="00D475AD" w:rsidRPr="00D475AD" w:rsidRDefault="00D475AD" w:rsidP="00D475AD">
            <w:pPr>
              <w:spacing w:after="0" w:line="240" w:lineRule="auto"/>
              <w:jc w:val="center"/>
              <w:rPr>
                <w:rFonts w:ascii="Calibri" w:eastAsia="Times New Roman" w:hAnsi="Calibri" w:cs="Calibri"/>
                <w:b/>
                <w:bCs/>
                <w:color w:val="FFFFFF"/>
                <w:szCs w:val="21"/>
                <w:lang w:eastAsia="cs-CZ"/>
              </w:rPr>
            </w:pPr>
            <w:r w:rsidRPr="00D475AD">
              <w:rPr>
                <w:rFonts w:ascii="Calibri" w:eastAsia="Times New Roman" w:hAnsi="Calibri" w:cs="Calibri"/>
                <w:b/>
                <w:bCs/>
                <w:color w:val="FFFFFF"/>
                <w:szCs w:val="21"/>
                <w:lang w:eastAsia="cs-CZ"/>
              </w:rPr>
              <w:t>2021</w:t>
            </w:r>
          </w:p>
        </w:tc>
        <w:tc>
          <w:tcPr>
            <w:tcW w:w="1000" w:type="dxa"/>
            <w:tcBorders>
              <w:top w:val="single" w:sz="8" w:space="0" w:color="4F81BD"/>
              <w:left w:val="nil"/>
              <w:bottom w:val="nil"/>
              <w:right w:val="nil"/>
            </w:tcBorders>
            <w:shd w:val="clear" w:color="000000" w:fill="6691C6"/>
            <w:hideMark/>
          </w:tcPr>
          <w:p w14:paraId="4F84150E" w14:textId="77777777" w:rsidR="00D475AD" w:rsidRPr="00D475AD" w:rsidRDefault="00D475AD" w:rsidP="00D475AD">
            <w:pPr>
              <w:spacing w:after="0" w:line="240" w:lineRule="auto"/>
              <w:jc w:val="center"/>
              <w:rPr>
                <w:rFonts w:ascii="Calibri" w:eastAsia="Times New Roman" w:hAnsi="Calibri" w:cs="Calibri"/>
                <w:b/>
                <w:bCs/>
                <w:color w:val="FFFFFF"/>
                <w:szCs w:val="21"/>
                <w:lang w:eastAsia="cs-CZ"/>
              </w:rPr>
            </w:pPr>
            <w:r w:rsidRPr="00D475AD">
              <w:rPr>
                <w:rFonts w:ascii="Calibri" w:eastAsia="Times New Roman" w:hAnsi="Calibri" w:cs="Calibri"/>
                <w:b/>
                <w:bCs/>
                <w:color w:val="FFFFFF"/>
                <w:szCs w:val="21"/>
                <w:lang w:eastAsia="cs-CZ"/>
              </w:rPr>
              <w:t>2022</w:t>
            </w:r>
          </w:p>
        </w:tc>
        <w:tc>
          <w:tcPr>
            <w:tcW w:w="1000" w:type="dxa"/>
            <w:tcBorders>
              <w:top w:val="single" w:sz="8" w:space="0" w:color="4F81BD"/>
              <w:left w:val="nil"/>
              <w:bottom w:val="nil"/>
              <w:right w:val="nil"/>
            </w:tcBorders>
            <w:shd w:val="clear" w:color="000000" w:fill="4F81BD"/>
            <w:hideMark/>
          </w:tcPr>
          <w:p w14:paraId="1928A982" w14:textId="77777777" w:rsidR="00D475AD" w:rsidRPr="00D475AD" w:rsidRDefault="00D475AD" w:rsidP="00D475AD">
            <w:pPr>
              <w:spacing w:after="0" w:line="240" w:lineRule="auto"/>
              <w:jc w:val="center"/>
              <w:rPr>
                <w:rFonts w:ascii="Calibri" w:eastAsia="Times New Roman" w:hAnsi="Calibri" w:cs="Calibri"/>
                <w:b/>
                <w:bCs/>
                <w:color w:val="FFFFFF"/>
                <w:szCs w:val="21"/>
                <w:lang w:eastAsia="cs-CZ"/>
              </w:rPr>
            </w:pPr>
            <w:r w:rsidRPr="00D475AD">
              <w:rPr>
                <w:rFonts w:ascii="Calibri" w:eastAsia="Times New Roman" w:hAnsi="Calibri" w:cs="Calibri"/>
                <w:b/>
                <w:bCs/>
                <w:color w:val="FFFFFF"/>
                <w:szCs w:val="21"/>
                <w:lang w:eastAsia="cs-CZ"/>
              </w:rPr>
              <w:t>2023</w:t>
            </w:r>
          </w:p>
        </w:tc>
        <w:tc>
          <w:tcPr>
            <w:tcW w:w="1000" w:type="dxa"/>
            <w:tcBorders>
              <w:top w:val="single" w:sz="8" w:space="0" w:color="4F81BD"/>
              <w:left w:val="nil"/>
              <w:bottom w:val="nil"/>
              <w:right w:val="single" w:sz="8" w:space="0" w:color="4F81BD"/>
            </w:tcBorders>
            <w:shd w:val="clear" w:color="000000" w:fill="6691C6"/>
            <w:hideMark/>
          </w:tcPr>
          <w:p w14:paraId="47FB9786" w14:textId="77777777" w:rsidR="00D475AD" w:rsidRPr="00D475AD" w:rsidRDefault="00D475AD" w:rsidP="00D475AD">
            <w:pPr>
              <w:spacing w:after="0" w:line="240" w:lineRule="auto"/>
              <w:jc w:val="center"/>
              <w:rPr>
                <w:rFonts w:ascii="Calibri" w:eastAsia="Times New Roman" w:hAnsi="Calibri" w:cs="Calibri"/>
                <w:b/>
                <w:bCs/>
                <w:color w:val="FFFFFF"/>
                <w:szCs w:val="21"/>
                <w:lang w:eastAsia="cs-CZ"/>
              </w:rPr>
            </w:pPr>
            <w:r w:rsidRPr="00D475AD">
              <w:rPr>
                <w:rFonts w:ascii="Calibri" w:eastAsia="Times New Roman" w:hAnsi="Calibri" w:cs="Calibri"/>
                <w:b/>
                <w:bCs/>
                <w:color w:val="FFFFFF"/>
                <w:szCs w:val="21"/>
                <w:lang w:eastAsia="cs-CZ"/>
              </w:rPr>
              <w:t>2023</w:t>
            </w:r>
            <w:r w:rsidRPr="00D475AD">
              <w:rPr>
                <w:rFonts w:ascii="Calibri" w:eastAsia="Times New Roman" w:hAnsi="Calibri" w:cs="Calibri"/>
                <w:b/>
                <w:bCs/>
                <w:color w:val="FFFFFF"/>
                <w:szCs w:val="21"/>
                <w:lang w:eastAsia="cs-CZ"/>
              </w:rPr>
              <w:br/>
              <w:t>ZPP</w:t>
            </w:r>
          </w:p>
        </w:tc>
      </w:tr>
      <w:tr w:rsidR="00D475AD" w:rsidRPr="00D475AD" w14:paraId="5E21770D" w14:textId="77777777" w:rsidTr="00D475AD">
        <w:trPr>
          <w:trHeight w:val="559"/>
        </w:trPr>
        <w:tc>
          <w:tcPr>
            <w:tcW w:w="2080" w:type="dxa"/>
            <w:tcBorders>
              <w:top w:val="nil"/>
              <w:left w:val="single" w:sz="8" w:space="0" w:color="4F81BD"/>
              <w:bottom w:val="nil"/>
              <w:right w:val="nil"/>
            </w:tcBorders>
            <w:shd w:val="clear" w:color="auto" w:fill="auto"/>
            <w:vAlign w:val="bottom"/>
            <w:hideMark/>
          </w:tcPr>
          <w:p w14:paraId="45BA81A0" w14:textId="77777777" w:rsidR="00D475AD" w:rsidRPr="00D475AD" w:rsidRDefault="00D475AD" w:rsidP="00D475AD">
            <w:pPr>
              <w:spacing w:after="0" w:line="240" w:lineRule="auto"/>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 xml:space="preserve">Náklady na </w:t>
            </w:r>
            <w:r w:rsidRPr="00D475AD">
              <w:rPr>
                <w:rFonts w:ascii="Calibri" w:eastAsia="Times New Roman" w:hAnsi="Calibri" w:cs="Calibri"/>
                <w:b/>
                <w:bCs/>
                <w:color w:val="000000"/>
                <w:szCs w:val="21"/>
                <w:lang w:eastAsia="cs-CZ"/>
              </w:rPr>
              <w:br/>
              <w:t>zdravotní programy</w:t>
            </w:r>
          </w:p>
        </w:tc>
        <w:tc>
          <w:tcPr>
            <w:tcW w:w="1000" w:type="dxa"/>
            <w:tcBorders>
              <w:top w:val="nil"/>
              <w:left w:val="nil"/>
              <w:bottom w:val="nil"/>
              <w:right w:val="nil"/>
            </w:tcBorders>
            <w:shd w:val="clear" w:color="000000" w:fill="DCE6F1"/>
            <w:noWrap/>
            <w:vAlign w:val="bottom"/>
            <w:hideMark/>
          </w:tcPr>
          <w:p w14:paraId="1F0BB876"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876</w:t>
            </w:r>
          </w:p>
        </w:tc>
        <w:tc>
          <w:tcPr>
            <w:tcW w:w="1000" w:type="dxa"/>
            <w:tcBorders>
              <w:top w:val="nil"/>
              <w:left w:val="nil"/>
              <w:bottom w:val="nil"/>
              <w:right w:val="nil"/>
            </w:tcBorders>
            <w:shd w:val="clear" w:color="auto" w:fill="auto"/>
            <w:noWrap/>
            <w:vAlign w:val="bottom"/>
            <w:hideMark/>
          </w:tcPr>
          <w:p w14:paraId="1FB03879"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1 114</w:t>
            </w:r>
          </w:p>
        </w:tc>
        <w:tc>
          <w:tcPr>
            <w:tcW w:w="1000" w:type="dxa"/>
            <w:tcBorders>
              <w:top w:val="nil"/>
              <w:left w:val="nil"/>
              <w:bottom w:val="nil"/>
              <w:right w:val="nil"/>
            </w:tcBorders>
            <w:shd w:val="clear" w:color="000000" w:fill="DCE6F1"/>
            <w:noWrap/>
            <w:vAlign w:val="bottom"/>
            <w:hideMark/>
          </w:tcPr>
          <w:p w14:paraId="467336E0"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1 159</w:t>
            </w:r>
          </w:p>
        </w:tc>
        <w:tc>
          <w:tcPr>
            <w:tcW w:w="1000" w:type="dxa"/>
            <w:tcBorders>
              <w:top w:val="nil"/>
              <w:left w:val="nil"/>
              <w:bottom w:val="nil"/>
              <w:right w:val="nil"/>
            </w:tcBorders>
            <w:shd w:val="clear" w:color="auto" w:fill="auto"/>
            <w:noWrap/>
            <w:vAlign w:val="bottom"/>
            <w:hideMark/>
          </w:tcPr>
          <w:p w14:paraId="4D0CFCB3"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1 226</w:t>
            </w:r>
          </w:p>
        </w:tc>
        <w:tc>
          <w:tcPr>
            <w:tcW w:w="1000" w:type="dxa"/>
            <w:tcBorders>
              <w:top w:val="nil"/>
              <w:left w:val="nil"/>
              <w:bottom w:val="nil"/>
              <w:right w:val="nil"/>
            </w:tcBorders>
            <w:shd w:val="clear" w:color="000000" w:fill="DCE6F1"/>
            <w:noWrap/>
            <w:vAlign w:val="bottom"/>
            <w:hideMark/>
          </w:tcPr>
          <w:p w14:paraId="06474A41"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1 501</w:t>
            </w:r>
          </w:p>
        </w:tc>
        <w:tc>
          <w:tcPr>
            <w:tcW w:w="1000" w:type="dxa"/>
            <w:tcBorders>
              <w:top w:val="nil"/>
              <w:left w:val="nil"/>
              <w:bottom w:val="nil"/>
              <w:right w:val="nil"/>
            </w:tcBorders>
            <w:shd w:val="clear" w:color="auto" w:fill="auto"/>
            <w:noWrap/>
            <w:vAlign w:val="bottom"/>
            <w:hideMark/>
          </w:tcPr>
          <w:p w14:paraId="77F85050"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1 890</w:t>
            </w:r>
          </w:p>
        </w:tc>
        <w:tc>
          <w:tcPr>
            <w:tcW w:w="1000" w:type="dxa"/>
            <w:tcBorders>
              <w:top w:val="nil"/>
              <w:left w:val="nil"/>
              <w:bottom w:val="nil"/>
              <w:right w:val="single" w:sz="8" w:space="0" w:color="4F81BD"/>
            </w:tcBorders>
            <w:shd w:val="clear" w:color="000000" w:fill="DCE6F1"/>
            <w:noWrap/>
            <w:vAlign w:val="bottom"/>
            <w:hideMark/>
          </w:tcPr>
          <w:p w14:paraId="0C2E0FD1"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1 852</w:t>
            </w:r>
          </w:p>
        </w:tc>
      </w:tr>
      <w:tr w:rsidR="00D475AD" w:rsidRPr="00D475AD" w14:paraId="5572504D" w14:textId="77777777" w:rsidTr="00D475AD">
        <w:trPr>
          <w:trHeight w:val="559"/>
        </w:trPr>
        <w:tc>
          <w:tcPr>
            <w:tcW w:w="2080" w:type="dxa"/>
            <w:tcBorders>
              <w:top w:val="nil"/>
              <w:left w:val="single" w:sz="8" w:space="0" w:color="4F81BD"/>
              <w:bottom w:val="nil"/>
              <w:right w:val="nil"/>
            </w:tcBorders>
            <w:shd w:val="clear" w:color="000000" w:fill="EEF3F8"/>
            <w:vAlign w:val="bottom"/>
            <w:hideMark/>
          </w:tcPr>
          <w:p w14:paraId="44E11B6B" w14:textId="77777777" w:rsidR="00D475AD" w:rsidRPr="00D475AD" w:rsidRDefault="00D475AD" w:rsidP="00D475AD">
            <w:pPr>
              <w:spacing w:after="0" w:line="240" w:lineRule="auto"/>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 xml:space="preserve">Náklady na </w:t>
            </w:r>
            <w:r w:rsidRPr="00D475AD">
              <w:rPr>
                <w:rFonts w:ascii="Calibri" w:eastAsia="Times New Roman" w:hAnsi="Calibri" w:cs="Calibri"/>
                <w:b/>
                <w:bCs/>
                <w:color w:val="000000"/>
                <w:szCs w:val="21"/>
                <w:lang w:eastAsia="cs-CZ"/>
              </w:rPr>
              <w:br/>
              <w:t>ozdravné pobyty</w:t>
            </w:r>
          </w:p>
        </w:tc>
        <w:tc>
          <w:tcPr>
            <w:tcW w:w="1000" w:type="dxa"/>
            <w:tcBorders>
              <w:top w:val="nil"/>
              <w:left w:val="nil"/>
              <w:bottom w:val="nil"/>
              <w:right w:val="nil"/>
            </w:tcBorders>
            <w:shd w:val="clear" w:color="000000" w:fill="EEF3F8"/>
            <w:noWrap/>
            <w:vAlign w:val="bottom"/>
            <w:hideMark/>
          </w:tcPr>
          <w:p w14:paraId="0AE5AEB7"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109</w:t>
            </w:r>
          </w:p>
        </w:tc>
        <w:tc>
          <w:tcPr>
            <w:tcW w:w="1000" w:type="dxa"/>
            <w:tcBorders>
              <w:top w:val="nil"/>
              <w:left w:val="nil"/>
              <w:bottom w:val="nil"/>
              <w:right w:val="nil"/>
            </w:tcBorders>
            <w:shd w:val="clear" w:color="000000" w:fill="EEF3F8"/>
            <w:noWrap/>
            <w:vAlign w:val="bottom"/>
            <w:hideMark/>
          </w:tcPr>
          <w:p w14:paraId="286C69F7"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93</w:t>
            </w:r>
          </w:p>
        </w:tc>
        <w:tc>
          <w:tcPr>
            <w:tcW w:w="1000" w:type="dxa"/>
            <w:tcBorders>
              <w:top w:val="nil"/>
              <w:left w:val="nil"/>
              <w:bottom w:val="nil"/>
              <w:right w:val="nil"/>
            </w:tcBorders>
            <w:shd w:val="clear" w:color="000000" w:fill="EEF3F8"/>
            <w:noWrap/>
            <w:vAlign w:val="bottom"/>
            <w:hideMark/>
          </w:tcPr>
          <w:p w14:paraId="6229E725"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34</w:t>
            </w:r>
          </w:p>
        </w:tc>
        <w:tc>
          <w:tcPr>
            <w:tcW w:w="1000" w:type="dxa"/>
            <w:tcBorders>
              <w:top w:val="nil"/>
              <w:left w:val="nil"/>
              <w:bottom w:val="nil"/>
              <w:right w:val="nil"/>
            </w:tcBorders>
            <w:shd w:val="clear" w:color="000000" w:fill="EEF3F8"/>
            <w:noWrap/>
            <w:vAlign w:val="bottom"/>
            <w:hideMark/>
          </w:tcPr>
          <w:p w14:paraId="7C955C0A"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29</w:t>
            </w:r>
          </w:p>
        </w:tc>
        <w:tc>
          <w:tcPr>
            <w:tcW w:w="1000" w:type="dxa"/>
            <w:tcBorders>
              <w:top w:val="nil"/>
              <w:left w:val="nil"/>
              <w:bottom w:val="nil"/>
              <w:right w:val="nil"/>
            </w:tcBorders>
            <w:shd w:val="clear" w:color="000000" w:fill="EEF3F8"/>
            <w:noWrap/>
            <w:vAlign w:val="bottom"/>
            <w:hideMark/>
          </w:tcPr>
          <w:p w14:paraId="08F8F787"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34</w:t>
            </w:r>
          </w:p>
        </w:tc>
        <w:tc>
          <w:tcPr>
            <w:tcW w:w="1000" w:type="dxa"/>
            <w:tcBorders>
              <w:top w:val="nil"/>
              <w:left w:val="nil"/>
              <w:bottom w:val="nil"/>
              <w:right w:val="nil"/>
            </w:tcBorders>
            <w:shd w:val="clear" w:color="000000" w:fill="EEF3F8"/>
            <w:noWrap/>
            <w:vAlign w:val="bottom"/>
            <w:hideMark/>
          </w:tcPr>
          <w:p w14:paraId="523CAE50"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49</w:t>
            </w:r>
          </w:p>
        </w:tc>
        <w:tc>
          <w:tcPr>
            <w:tcW w:w="1000" w:type="dxa"/>
            <w:tcBorders>
              <w:top w:val="nil"/>
              <w:left w:val="nil"/>
              <w:bottom w:val="nil"/>
              <w:right w:val="single" w:sz="8" w:space="0" w:color="4F81BD"/>
            </w:tcBorders>
            <w:shd w:val="clear" w:color="000000" w:fill="EEF3F8"/>
            <w:noWrap/>
            <w:vAlign w:val="bottom"/>
            <w:hideMark/>
          </w:tcPr>
          <w:p w14:paraId="7CF81CB5"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43</w:t>
            </w:r>
          </w:p>
        </w:tc>
      </w:tr>
      <w:tr w:rsidR="00D475AD" w:rsidRPr="00D475AD" w14:paraId="44771CAD" w14:textId="77777777" w:rsidTr="00D475AD">
        <w:trPr>
          <w:trHeight w:val="300"/>
        </w:trPr>
        <w:tc>
          <w:tcPr>
            <w:tcW w:w="2080" w:type="dxa"/>
            <w:tcBorders>
              <w:top w:val="nil"/>
              <w:left w:val="single" w:sz="8" w:space="0" w:color="4F81BD"/>
              <w:bottom w:val="nil"/>
              <w:right w:val="nil"/>
            </w:tcBorders>
            <w:shd w:val="clear" w:color="auto" w:fill="auto"/>
            <w:vAlign w:val="bottom"/>
            <w:hideMark/>
          </w:tcPr>
          <w:p w14:paraId="1D7F8041" w14:textId="77777777" w:rsidR="00D475AD" w:rsidRPr="00D475AD" w:rsidRDefault="00D475AD" w:rsidP="00D475AD">
            <w:pPr>
              <w:spacing w:after="0" w:line="240" w:lineRule="auto"/>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Ostatní činnosti</w:t>
            </w:r>
          </w:p>
        </w:tc>
        <w:tc>
          <w:tcPr>
            <w:tcW w:w="1000" w:type="dxa"/>
            <w:tcBorders>
              <w:top w:val="nil"/>
              <w:left w:val="nil"/>
              <w:bottom w:val="nil"/>
              <w:right w:val="nil"/>
            </w:tcBorders>
            <w:shd w:val="clear" w:color="000000" w:fill="DCE6F1"/>
            <w:noWrap/>
            <w:vAlign w:val="bottom"/>
            <w:hideMark/>
          </w:tcPr>
          <w:p w14:paraId="3F67EEC4"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99</w:t>
            </w:r>
          </w:p>
        </w:tc>
        <w:tc>
          <w:tcPr>
            <w:tcW w:w="1000" w:type="dxa"/>
            <w:tcBorders>
              <w:top w:val="nil"/>
              <w:left w:val="nil"/>
              <w:bottom w:val="nil"/>
              <w:right w:val="nil"/>
            </w:tcBorders>
            <w:shd w:val="clear" w:color="auto" w:fill="auto"/>
            <w:noWrap/>
            <w:vAlign w:val="bottom"/>
            <w:hideMark/>
          </w:tcPr>
          <w:p w14:paraId="113FB50A"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165</w:t>
            </w:r>
          </w:p>
        </w:tc>
        <w:tc>
          <w:tcPr>
            <w:tcW w:w="1000" w:type="dxa"/>
            <w:tcBorders>
              <w:top w:val="nil"/>
              <w:left w:val="nil"/>
              <w:bottom w:val="nil"/>
              <w:right w:val="nil"/>
            </w:tcBorders>
            <w:shd w:val="clear" w:color="000000" w:fill="DCE6F1"/>
            <w:noWrap/>
            <w:vAlign w:val="bottom"/>
            <w:hideMark/>
          </w:tcPr>
          <w:p w14:paraId="54110052"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265</w:t>
            </w:r>
          </w:p>
        </w:tc>
        <w:tc>
          <w:tcPr>
            <w:tcW w:w="1000" w:type="dxa"/>
            <w:tcBorders>
              <w:top w:val="nil"/>
              <w:left w:val="nil"/>
              <w:bottom w:val="nil"/>
              <w:right w:val="nil"/>
            </w:tcBorders>
            <w:shd w:val="clear" w:color="auto" w:fill="auto"/>
            <w:noWrap/>
            <w:vAlign w:val="bottom"/>
            <w:hideMark/>
          </w:tcPr>
          <w:p w14:paraId="2B4632C4"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967</w:t>
            </w:r>
          </w:p>
        </w:tc>
        <w:tc>
          <w:tcPr>
            <w:tcW w:w="1000" w:type="dxa"/>
            <w:tcBorders>
              <w:top w:val="nil"/>
              <w:left w:val="nil"/>
              <w:bottom w:val="nil"/>
              <w:right w:val="nil"/>
            </w:tcBorders>
            <w:shd w:val="clear" w:color="000000" w:fill="DCE6F1"/>
            <w:noWrap/>
            <w:vAlign w:val="bottom"/>
            <w:hideMark/>
          </w:tcPr>
          <w:p w14:paraId="3F164F09"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1 012</w:t>
            </w:r>
          </w:p>
        </w:tc>
        <w:tc>
          <w:tcPr>
            <w:tcW w:w="1000" w:type="dxa"/>
            <w:tcBorders>
              <w:top w:val="nil"/>
              <w:left w:val="nil"/>
              <w:bottom w:val="nil"/>
              <w:right w:val="nil"/>
            </w:tcBorders>
            <w:shd w:val="clear" w:color="auto" w:fill="auto"/>
            <w:noWrap/>
            <w:vAlign w:val="bottom"/>
            <w:hideMark/>
          </w:tcPr>
          <w:p w14:paraId="55E2F132"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325</w:t>
            </w:r>
          </w:p>
        </w:tc>
        <w:tc>
          <w:tcPr>
            <w:tcW w:w="1000" w:type="dxa"/>
            <w:tcBorders>
              <w:top w:val="nil"/>
              <w:left w:val="nil"/>
              <w:bottom w:val="nil"/>
              <w:right w:val="single" w:sz="8" w:space="0" w:color="4F81BD"/>
            </w:tcBorders>
            <w:shd w:val="clear" w:color="000000" w:fill="DCE6F1"/>
            <w:noWrap/>
            <w:vAlign w:val="bottom"/>
            <w:hideMark/>
          </w:tcPr>
          <w:p w14:paraId="7E4BFEB3"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343</w:t>
            </w:r>
          </w:p>
        </w:tc>
      </w:tr>
      <w:tr w:rsidR="00D475AD" w:rsidRPr="00D475AD" w14:paraId="0531A25C" w14:textId="77777777" w:rsidTr="00D475AD">
        <w:trPr>
          <w:trHeight w:val="559"/>
        </w:trPr>
        <w:tc>
          <w:tcPr>
            <w:tcW w:w="2080" w:type="dxa"/>
            <w:tcBorders>
              <w:top w:val="nil"/>
              <w:left w:val="single" w:sz="8" w:space="0" w:color="4F81BD"/>
              <w:bottom w:val="nil"/>
              <w:right w:val="nil"/>
            </w:tcBorders>
            <w:shd w:val="clear" w:color="000000" w:fill="EEF3F8"/>
            <w:vAlign w:val="bottom"/>
            <w:hideMark/>
          </w:tcPr>
          <w:p w14:paraId="2893F83C" w14:textId="77777777" w:rsidR="00D475AD" w:rsidRPr="00D475AD" w:rsidRDefault="00D475AD" w:rsidP="00D475AD">
            <w:pPr>
              <w:spacing w:after="0" w:line="240" w:lineRule="auto"/>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 xml:space="preserve">Z jiných zdrojů </w:t>
            </w:r>
            <w:r w:rsidRPr="00D475AD">
              <w:rPr>
                <w:rFonts w:ascii="Calibri" w:eastAsia="Times New Roman" w:hAnsi="Calibri" w:cs="Calibri"/>
                <w:b/>
                <w:bCs/>
                <w:color w:val="000000"/>
                <w:szCs w:val="21"/>
                <w:lang w:eastAsia="cs-CZ"/>
              </w:rPr>
              <w:br/>
            </w:r>
            <w:r w:rsidRPr="00D475AD">
              <w:rPr>
                <w:rFonts w:ascii="Calibri" w:eastAsia="Times New Roman" w:hAnsi="Calibri" w:cs="Calibri"/>
                <w:color w:val="000000"/>
                <w:szCs w:val="21"/>
                <w:lang w:eastAsia="cs-CZ"/>
              </w:rPr>
              <w:t>(VoZP ČR)</w:t>
            </w:r>
          </w:p>
        </w:tc>
        <w:tc>
          <w:tcPr>
            <w:tcW w:w="1000" w:type="dxa"/>
            <w:tcBorders>
              <w:top w:val="nil"/>
              <w:left w:val="nil"/>
              <w:bottom w:val="nil"/>
              <w:right w:val="nil"/>
            </w:tcBorders>
            <w:shd w:val="clear" w:color="000000" w:fill="EEF3F8"/>
            <w:noWrap/>
            <w:vAlign w:val="bottom"/>
            <w:hideMark/>
          </w:tcPr>
          <w:p w14:paraId="4FA6D20A"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9</w:t>
            </w:r>
          </w:p>
        </w:tc>
        <w:tc>
          <w:tcPr>
            <w:tcW w:w="1000" w:type="dxa"/>
            <w:tcBorders>
              <w:top w:val="nil"/>
              <w:left w:val="nil"/>
              <w:bottom w:val="nil"/>
              <w:right w:val="nil"/>
            </w:tcBorders>
            <w:shd w:val="clear" w:color="000000" w:fill="EEF3F8"/>
            <w:noWrap/>
            <w:vAlign w:val="bottom"/>
            <w:hideMark/>
          </w:tcPr>
          <w:p w14:paraId="4DD4A4F8"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12</w:t>
            </w:r>
          </w:p>
        </w:tc>
        <w:tc>
          <w:tcPr>
            <w:tcW w:w="1000" w:type="dxa"/>
            <w:tcBorders>
              <w:top w:val="nil"/>
              <w:left w:val="nil"/>
              <w:bottom w:val="nil"/>
              <w:right w:val="nil"/>
            </w:tcBorders>
            <w:shd w:val="clear" w:color="000000" w:fill="EEF3F8"/>
            <w:noWrap/>
            <w:vAlign w:val="bottom"/>
            <w:hideMark/>
          </w:tcPr>
          <w:p w14:paraId="71C9A80A"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13</w:t>
            </w:r>
          </w:p>
        </w:tc>
        <w:tc>
          <w:tcPr>
            <w:tcW w:w="1000" w:type="dxa"/>
            <w:tcBorders>
              <w:top w:val="nil"/>
              <w:left w:val="nil"/>
              <w:bottom w:val="nil"/>
              <w:right w:val="nil"/>
            </w:tcBorders>
            <w:shd w:val="clear" w:color="000000" w:fill="EEF3F8"/>
            <w:noWrap/>
            <w:vAlign w:val="bottom"/>
            <w:hideMark/>
          </w:tcPr>
          <w:p w14:paraId="604081B0"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16</w:t>
            </w:r>
          </w:p>
        </w:tc>
        <w:tc>
          <w:tcPr>
            <w:tcW w:w="1000" w:type="dxa"/>
            <w:tcBorders>
              <w:top w:val="nil"/>
              <w:left w:val="nil"/>
              <w:bottom w:val="nil"/>
              <w:right w:val="nil"/>
            </w:tcBorders>
            <w:shd w:val="clear" w:color="000000" w:fill="EEF3F8"/>
            <w:noWrap/>
            <w:vAlign w:val="bottom"/>
            <w:hideMark/>
          </w:tcPr>
          <w:p w14:paraId="25BC3918"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19</w:t>
            </w:r>
          </w:p>
        </w:tc>
        <w:tc>
          <w:tcPr>
            <w:tcW w:w="1000" w:type="dxa"/>
            <w:tcBorders>
              <w:top w:val="nil"/>
              <w:left w:val="nil"/>
              <w:bottom w:val="nil"/>
              <w:right w:val="nil"/>
            </w:tcBorders>
            <w:shd w:val="clear" w:color="000000" w:fill="EEF3F8"/>
            <w:noWrap/>
            <w:vAlign w:val="bottom"/>
            <w:hideMark/>
          </w:tcPr>
          <w:p w14:paraId="40E726BC"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22</w:t>
            </w:r>
          </w:p>
        </w:tc>
        <w:tc>
          <w:tcPr>
            <w:tcW w:w="1000" w:type="dxa"/>
            <w:tcBorders>
              <w:top w:val="nil"/>
              <w:left w:val="nil"/>
              <w:bottom w:val="nil"/>
              <w:right w:val="single" w:sz="8" w:space="0" w:color="4F81BD"/>
            </w:tcBorders>
            <w:shd w:val="clear" w:color="000000" w:fill="EEF3F8"/>
            <w:noWrap/>
            <w:vAlign w:val="bottom"/>
            <w:hideMark/>
          </w:tcPr>
          <w:p w14:paraId="7EC5CC0A" w14:textId="77777777" w:rsidR="00D475AD" w:rsidRPr="00D475AD" w:rsidRDefault="00D475AD" w:rsidP="00D475AD">
            <w:pPr>
              <w:spacing w:after="0" w:line="240" w:lineRule="auto"/>
              <w:jc w:val="right"/>
              <w:rPr>
                <w:rFonts w:ascii="Calibri" w:eastAsia="Times New Roman" w:hAnsi="Calibri" w:cs="Calibri"/>
                <w:color w:val="000000"/>
                <w:szCs w:val="21"/>
                <w:lang w:eastAsia="cs-CZ"/>
              </w:rPr>
            </w:pPr>
            <w:r w:rsidRPr="00D475AD">
              <w:rPr>
                <w:rFonts w:ascii="Calibri" w:eastAsia="Times New Roman" w:hAnsi="Calibri" w:cs="Calibri"/>
                <w:color w:val="000000"/>
                <w:szCs w:val="21"/>
                <w:lang w:eastAsia="cs-CZ"/>
              </w:rPr>
              <w:t>21</w:t>
            </w:r>
          </w:p>
        </w:tc>
      </w:tr>
      <w:tr w:rsidR="00D475AD" w:rsidRPr="00D475AD" w14:paraId="0D630809" w14:textId="77777777" w:rsidTr="00D475AD">
        <w:trPr>
          <w:trHeight w:val="300"/>
        </w:trPr>
        <w:tc>
          <w:tcPr>
            <w:tcW w:w="2080" w:type="dxa"/>
            <w:tcBorders>
              <w:top w:val="nil"/>
              <w:left w:val="single" w:sz="8" w:space="0" w:color="4F81BD"/>
              <w:bottom w:val="single" w:sz="8" w:space="0" w:color="4F81BD"/>
              <w:right w:val="nil"/>
            </w:tcBorders>
            <w:shd w:val="clear" w:color="auto" w:fill="auto"/>
            <w:vAlign w:val="bottom"/>
            <w:hideMark/>
          </w:tcPr>
          <w:p w14:paraId="5C2E4750" w14:textId="77777777" w:rsidR="00D475AD" w:rsidRPr="00D475AD" w:rsidRDefault="00D475AD" w:rsidP="00D475AD">
            <w:pPr>
              <w:spacing w:after="0" w:line="240" w:lineRule="auto"/>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Celkové náklady</w:t>
            </w:r>
          </w:p>
        </w:tc>
        <w:tc>
          <w:tcPr>
            <w:tcW w:w="1000" w:type="dxa"/>
            <w:tcBorders>
              <w:top w:val="nil"/>
              <w:left w:val="nil"/>
              <w:bottom w:val="single" w:sz="8" w:space="0" w:color="4F81BD"/>
              <w:right w:val="nil"/>
            </w:tcBorders>
            <w:shd w:val="clear" w:color="000000" w:fill="DCE6F1"/>
            <w:noWrap/>
            <w:vAlign w:val="bottom"/>
            <w:hideMark/>
          </w:tcPr>
          <w:p w14:paraId="7672A220" w14:textId="77777777" w:rsidR="00D475AD" w:rsidRPr="00D475AD" w:rsidRDefault="00D475AD" w:rsidP="00D475AD">
            <w:pPr>
              <w:spacing w:after="0" w:line="240" w:lineRule="auto"/>
              <w:jc w:val="right"/>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1 093</w:t>
            </w:r>
          </w:p>
        </w:tc>
        <w:tc>
          <w:tcPr>
            <w:tcW w:w="1000" w:type="dxa"/>
            <w:tcBorders>
              <w:top w:val="nil"/>
              <w:left w:val="nil"/>
              <w:bottom w:val="single" w:sz="8" w:space="0" w:color="4F81BD"/>
              <w:right w:val="nil"/>
            </w:tcBorders>
            <w:shd w:val="clear" w:color="auto" w:fill="auto"/>
            <w:noWrap/>
            <w:vAlign w:val="bottom"/>
            <w:hideMark/>
          </w:tcPr>
          <w:p w14:paraId="26C28C34" w14:textId="77777777" w:rsidR="00D475AD" w:rsidRPr="00D475AD" w:rsidRDefault="00D475AD" w:rsidP="00D475AD">
            <w:pPr>
              <w:spacing w:after="0" w:line="240" w:lineRule="auto"/>
              <w:jc w:val="right"/>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1 384</w:t>
            </w:r>
          </w:p>
        </w:tc>
        <w:tc>
          <w:tcPr>
            <w:tcW w:w="1000" w:type="dxa"/>
            <w:tcBorders>
              <w:top w:val="nil"/>
              <w:left w:val="nil"/>
              <w:bottom w:val="single" w:sz="8" w:space="0" w:color="4F81BD"/>
              <w:right w:val="nil"/>
            </w:tcBorders>
            <w:shd w:val="clear" w:color="000000" w:fill="DCE6F1"/>
            <w:noWrap/>
            <w:vAlign w:val="bottom"/>
            <w:hideMark/>
          </w:tcPr>
          <w:p w14:paraId="108973FF" w14:textId="77777777" w:rsidR="00D475AD" w:rsidRPr="00D475AD" w:rsidRDefault="00D475AD" w:rsidP="00D475AD">
            <w:pPr>
              <w:spacing w:after="0" w:line="240" w:lineRule="auto"/>
              <w:jc w:val="right"/>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1 471</w:t>
            </w:r>
          </w:p>
        </w:tc>
        <w:tc>
          <w:tcPr>
            <w:tcW w:w="1000" w:type="dxa"/>
            <w:tcBorders>
              <w:top w:val="nil"/>
              <w:left w:val="nil"/>
              <w:bottom w:val="single" w:sz="8" w:space="0" w:color="4F81BD"/>
              <w:right w:val="nil"/>
            </w:tcBorders>
            <w:shd w:val="clear" w:color="auto" w:fill="auto"/>
            <w:noWrap/>
            <w:vAlign w:val="bottom"/>
            <w:hideMark/>
          </w:tcPr>
          <w:p w14:paraId="0433AD98" w14:textId="77777777" w:rsidR="00D475AD" w:rsidRPr="00D475AD" w:rsidRDefault="00D475AD" w:rsidP="00D475AD">
            <w:pPr>
              <w:spacing w:after="0" w:line="240" w:lineRule="auto"/>
              <w:jc w:val="right"/>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2 238</w:t>
            </w:r>
          </w:p>
        </w:tc>
        <w:tc>
          <w:tcPr>
            <w:tcW w:w="1000" w:type="dxa"/>
            <w:tcBorders>
              <w:top w:val="nil"/>
              <w:left w:val="nil"/>
              <w:bottom w:val="single" w:sz="8" w:space="0" w:color="4F81BD"/>
              <w:right w:val="nil"/>
            </w:tcBorders>
            <w:shd w:val="clear" w:color="000000" w:fill="DCE6F1"/>
            <w:noWrap/>
            <w:vAlign w:val="bottom"/>
            <w:hideMark/>
          </w:tcPr>
          <w:p w14:paraId="4D975D49" w14:textId="77777777" w:rsidR="00D475AD" w:rsidRPr="00D475AD" w:rsidRDefault="00D475AD" w:rsidP="00D475AD">
            <w:pPr>
              <w:spacing w:after="0" w:line="240" w:lineRule="auto"/>
              <w:jc w:val="right"/>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2 566</w:t>
            </w:r>
          </w:p>
        </w:tc>
        <w:tc>
          <w:tcPr>
            <w:tcW w:w="1000" w:type="dxa"/>
            <w:tcBorders>
              <w:top w:val="nil"/>
              <w:left w:val="nil"/>
              <w:bottom w:val="single" w:sz="8" w:space="0" w:color="4F81BD"/>
              <w:right w:val="nil"/>
            </w:tcBorders>
            <w:shd w:val="clear" w:color="auto" w:fill="auto"/>
            <w:noWrap/>
            <w:vAlign w:val="bottom"/>
            <w:hideMark/>
          </w:tcPr>
          <w:p w14:paraId="42E294C8" w14:textId="77777777" w:rsidR="00D475AD" w:rsidRPr="00D475AD" w:rsidRDefault="00D475AD" w:rsidP="00D475AD">
            <w:pPr>
              <w:spacing w:after="0" w:line="240" w:lineRule="auto"/>
              <w:jc w:val="right"/>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2 287</w:t>
            </w:r>
          </w:p>
        </w:tc>
        <w:tc>
          <w:tcPr>
            <w:tcW w:w="1000" w:type="dxa"/>
            <w:tcBorders>
              <w:top w:val="nil"/>
              <w:left w:val="nil"/>
              <w:bottom w:val="single" w:sz="8" w:space="0" w:color="4F81BD"/>
              <w:right w:val="single" w:sz="8" w:space="0" w:color="4F81BD"/>
            </w:tcBorders>
            <w:shd w:val="clear" w:color="000000" w:fill="DCE6F1"/>
            <w:noWrap/>
            <w:vAlign w:val="bottom"/>
            <w:hideMark/>
          </w:tcPr>
          <w:p w14:paraId="09729FA4" w14:textId="77777777" w:rsidR="00D475AD" w:rsidRPr="00D475AD" w:rsidRDefault="00D475AD" w:rsidP="00D475AD">
            <w:pPr>
              <w:spacing w:after="0" w:line="240" w:lineRule="auto"/>
              <w:jc w:val="right"/>
              <w:rPr>
                <w:rFonts w:ascii="Calibri" w:eastAsia="Times New Roman" w:hAnsi="Calibri" w:cs="Calibri"/>
                <w:b/>
                <w:bCs/>
                <w:color w:val="000000"/>
                <w:szCs w:val="21"/>
                <w:lang w:eastAsia="cs-CZ"/>
              </w:rPr>
            </w:pPr>
            <w:r w:rsidRPr="00D475AD">
              <w:rPr>
                <w:rFonts w:ascii="Calibri" w:eastAsia="Times New Roman" w:hAnsi="Calibri" w:cs="Calibri"/>
                <w:b/>
                <w:bCs/>
                <w:color w:val="000000"/>
                <w:szCs w:val="21"/>
                <w:lang w:eastAsia="cs-CZ"/>
              </w:rPr>
              <w:t>2 259</w:t>
            </w:r>
          </w:p>
        </w:tc>
      </w:tr>
    </w:tbl>
    <w:p w14:paraId="520604D6" w14:textId="77777777" w:rsidR="00D475AD" w:rsidRPr="008C1EAB" w:rsidRDefault="00D475AD" w:rsidP="004F12DF">
      <w:pPr>
        <w:rPr>
          <w:highlight w:val="yellow"/>
          <w:lang w:bidi="hi-IN"/>
        </w:rPr>
      </w:pPr>
    </w:p>
    <w:p w14:paraId="689DCD58" w14:textId="0C46B1FE" w:rsidR="001703E0" w:rsidRPr="00337469" w:rsidRDefault="001703E0" w:rsidP="001703E0">
      <w:pPr>
        <w:pStyle w:val="Titulek"/>
        <w:jc w:val="both"/>
      </w:pPr>
      <w:bookmarkStart w:id="70" w:name="_Toc41837509"/>
      <w:bookmarkStart w:id="71" w:name="_Toc168993242"/>
      <w:r w:rsidRPr="00337469">
        <w:t xml:space="preserve">Tabulka č. </w:t>
      </w:r>
      <w:r w:rsidRPr="00337469">
        <w:rPr>
          <w:noProof/>
        </w:rPr>
        <w:fldChar w:fldCharType="begin"/>
      </w:r>
      <w:r w:rsidRPr="00337469">
        <w:rPr>
          <w:noProof/>
        </w:rPr>
        <w:instrText xml:space="preserve"> SEQ Tabulka \* ARABIC </w:instrText>
      </w:r>
      <w:r w:rsidRPr="00337469">
        <w:rPr>
          <w:noProof/>
        </w:rPr>
        <w:fldChar w:fldCharType="separate"/>
      </w:r>
      <w:r w:rsidR="00904274">
        <w:rPr>
          <w:noProof/>
        </w:rPr>
        <w:t>17</w:t>
      </w:r>
      <w:r w:rsidRPr="00337469">
        <w:rPr>
          <w:noProof/>
        </w:rPr>
        <w:fldChar w:fldCharType="end"/>
      </w:r>
      <w:r w:rsidRPr="00337469">
        <w:t xml:space="preserve">: Náklady na preventivní zdravotní péči </w:t>
      </w:r>
      <w:r w:rsidR="001B6DEF" w:rsidRPr="00337469">
        <w:t xml:space="preserve">a další programy </w:t>
      </w:r>
      <w:r w:rsidRPr="00337469">
        <w:t>čerpané z fondu prevence ZP a</w:t>
      </w:r>
      <w:r w:rsidR="008E7027" w:rsidRPr="00337469">
        <w:t> </w:t>
      </w:r>
      <w:r w:rsidRPr="00337469">
        <w:t>specifických fondů VoZP ČR podle zdravotních pojišťoven v roce 20</w:t>
      </w:r>
      <w:r w:rsidR="005C3CBB" w:rsidRPr="00337469">
        <w:t>2</w:t>
      </w:r>
      <w:bookmarkEnd w:id="70"/>
      <w:r w:rsidR="00337469" w:rsidRPr="00337469">
        <w:t>3</w:t>
      </w:r>
      <w:bookmarkEnd w:id="71"/>
      <w:r w:rsidRPr="00337469">
        <w:t xml:space="preserve"> </w:t>
      </w:r>
    </w:p>
    <w:tbl>
      <w:tblPr>
        <w:tblW w:w="9080" w:type="dxa"/>
        <w:tblCellMar>
          <w:left w:w="70" w:type="dxa"/>
          <w:right w:w="70" w:type="dxa"/>
        </w:tblCellMar>
        <w:tblLook w:val="04A0" w:firstRow="1" w:lastRow="0" w:firstColumn="1" w:lastColumn="0" w:noHBand="0" w:noVBand="1"/>
      </w:tblPr>
      <w:tblGrid>
        <w:gridCol w:w="2080"/>
        <w:gridCol w:w="1000"/>
        <w:gridCol w:w="1000"/>
        <w:gridCol w:w="1000"/>
        <w:gridCol w:w="1000"/>
        <w:gridCol w:w="1000"/>
        <w:gridCol w:w="1000"/>
        <w:gridCol w:w="1000"/>
      </w:tblGrid>
      <w:tr w:rsidR="00337469" w:rsidRPr="00337469" w14:paraId="513C8FFD" w14:textId="77777777" w:rsidTr="00337469">
        <w:trPr>
          <w:trHeight w:val="600"/>
        </w:trPr>
        <w:tc>
          <w:tcPr>
            <w:tcW w:w="2080" w:type="dxa"/>
            <w:tcBorders>
              <w:top w:val="single" w:sz="8" w:space="0" w:color="4F81BD"/>
              <w:left w:val="single" w:sz="8" w:space="0" w:color="4F81BD"/>
              <w:bottom w:val="nil"/>
              <w:right w:val="nil"/>
            </w:tcBorders>
            <w:shd w:val="clear" w:color="000000" w:fill="4F81BD"/>
            <w:hideMark/>
          </w:tcPr>
          <w:p w14:paraId="62F4DEB7" w14:textId="77777777" w:rsidR="00337469" w:rsidRPr="00337469" w:rsidRDefault="00337469" w:rsidP="00337469">
            <w:pPr>
              <w:spacing w:after="0" w:line="240" w:lineRule="auto"/>
              <w:rPr>
                <w:rFonts w:ascii="Calibri" w:eastAsia="Times New Roman" w:hAnsi="Calibri" w:cs="Calibri"/>
                <w:b/>
                <w:bCs/>
                <w:color w:val="FFFFFF"/>
                <w:szCs w:val="21"/>
                <w:lang w:eastAsia="cs-CZ"/>
              </w:rPr>
            </w:pPr>
            <w:r w:rsidRPr="00337469">
              <w:rPr>
                <w:rFonts w:ascii="Calibri" w:eastAsia="Times New Roman" w:hAnsi="Calibri" w:cs="Calibri"/>
                <w:b/>
                <w:bCs/>
                <w:color w:val="FFFFFF"/>
                <w:szCs w:val="21"/>
                <w:lang w:eastAsia="cs-CZ"/>
              </w:rPr>
              <w:t>Ukazatel</w:t>
            </w:r>
            <w:r w:rsidRPr="00337469">
              <w:rPr>
                <w:rFonts w:ascii="Calibri" w:eastAsia="Times New Roman" w:hAnsi="Calibri" w:cs="Calibri"/>
                <w:b/>
                <w:bCs/>
                <w:color w:val="FFFFFF"/>
                <w:szCs w:val="21"/>
                <w:lang w:eastAsia="cs-CZ"/>
              </w:rPr>
              <w:br/>
            </w:r>
            <w:r w:rsidRPr="00337469">
              <w:rPr>
                <w:rFonts w:ascii="Calibri" w:eastAsia="Times New Roman" w:hAnsi="Calibri" w:cs="Calibri"/>
                <w:color w:val="FFFFFF"/>
                <w:szCs w:val="21"/>
                <w:lang w:eastAsia="cs-CZ"/>
              </w:rPr>
              <w:t>(v mil. Kč)</w:t>
            </w:r>
          </w:p>
        </w:tc>
        <w:tc>
          <w:tcPr>
            <w:tcW w:w="1000" w:type="dxa"/>
            <w:tcBorders>
              <w:top w:val="single" w:sz="8" w:space="0" w:color="4F81BD"/>
              <w:left w:val="nil"/>
              <w:bottom w:val="nil"/>
              <w:right w:val="nil"/>
            </w:tcBorders>
            <w:shd w:val="clear" w:color="000000" w:fill="6691C6"/>
            <w:noWrap/>
            <w:vAlign w:val="center"/>
            <w:hideMark/>
          </w:tcPr>
          <w:p w14:paraId="67110E8F" w14:textId="77777777" w:rsidR="00337469" w:rsidRPr="00337469" w:rsidRDefault="00337469" w:rsidP="00337469">
            <w:pPr>
              <w:spacing w:after="0" w:line="240" w:lineRule="auto"/>
              <w:jc w:val="center"/>
              <w:rPr>
                <w:rFonts w:ascii="Calibri" w:eastAsia="Times New Roman" w:hAnsi="Calibri" w:cs="Calibri"/>
                <w:b/>
                <w:bCs/>
                <w:color w:val="FFFFFF"/>
                <w:szCs w:val="21"/>
                <w:lang w:eastAsia="cs-CZ"/>
              </w:rPr>
            </w:pPr>
            <w:r w:rsidRPr="00337469">
              <w:rPr>
                <w:rFonts w:ascii="Calibri" w:eastAsia="Times New Roman" w:hAnsi="Calibri" w:cs="Calibri"/>
                <w:b/>
                <w:bCs/>
                <w:color w:val="FFFFFF"/>
                <w:szCs w:val="21"/>
                <w:lang w:eastAsia="cs-CZ"/>
              </w:rPr>
              <w:t>VZP ČR</w:t>
            </w:r>
          </w:p>
        </w:tc>
        <w:tc>
          <w:tcPr>
            <w:tcW w:w="1000" w:type="dxa"/>
            <w:tcBorders>
              <w:top w:val="single" w:sz="8" w:space="0" w:color="4F81BD"/>
              <w:left w:val="nil"/>
              <w:bottom w:val="nil"/>
              <w:right w:val="nil"/>
            </w:tcBorders>
            <w:shd w:val="clear" w:color="000000" w:fill="4F81BD"/>
            <w:noWrap/>
            <w:vAlign w:val="center"/>
            <w:hideMark/>
          </w:tcPr>
          <w:p w14:paraId="14687C5D" w14:textId="77777777" w:rsidR="00337469" w:rsidRPr="00337469" w:rsidRDefault="00337469" w:rsidP="00337469">
            <w:pPr>
              <w:spacing w:after="0" w:line="240" w:lineRule="auto"/>
              <w:jc w:val="center"/>
              <w:rPr>
                <w:rFonts w:ascii="Calibri" w:eastAsia="Times New Roman" w:hAnsi="Calibri" w:cs="Calibri"/>
                <w:b/>
                <w:bCs/>
                <w:color w:val="FFFFFF"/>
                <w:szCs w:val="21"/>
                <w:lang w:eastAsia="cs-CZ"/>
              </w:rPr>
            </w:pPr>
            <w:r w:rsidRPr="00337469">
              <w:rPr>
                <w:rFonts w:ascii="Calibri" w:eastAsia="Times New Roman" w:hAnsi="Calibri" w:cs="Calibri"/>
                <w:b/>
                <w:bCs/>
                <w:color w:val="FFFFFF"/>
                <w:szCs w:val="21"/>
                <w:lang w:eastAsia="cs-CZ"/>
              </w:rPr>
              <w:t>VoZP ČR</w:t>
            </w:r>
          </w:p>
        </w:tc>
        <w:tc>
          <w:tcPr>
            <w:tcW w:w="1000" w:type="dxa"/>
            <w:tcBorders>
              <w:top w:val="single" w:sz="8" w:space="0" w:color="4F81BD"/>
              <w:left w:val="nil"/>
              <w:bottom w:val="nil"/>
              <w:right w:val="nil"/>
            </w:tcBorders>
            <w:shd w:val="clear" w:color="000000" w:fill="6691C6"/>
            <w:noWrap/>
            <w:vAlign w:val="center"/>
            <w:hideMark/>
          </w:tcPr>
          <w:p w14:paraId="0777AB4B" w14:textId="77777777" w:rsidR="00337469" w:rsidRPr="00337469" w:rsidRDefault="00337469" w:rsidP="00337469">
            <w:pPr>
              <w:spacing w:after="0" w:line="240" w:lineRule="auto"/>
              <w:jc w:val="center"/>
              <w:rPr>
                <w:rFonts w:ascii="Calibri" w:eastAsia="Times New Roman" w:hAnsi="Calibri" w:cs="Calibri"/>
                <w:b/>
                <w:bCs/>
                <w:color w:val="FFFFFF"/>
                <w:szCs w:val="21"/>
                <w:lang w:eastAsia="cs-CZ"/>
              </w:rPr>
            </w:pPr>
            <w:r w:rsidRPr="00337469">
              <w:rPr>
                <w:rFonts w:ascii="Calibri" w:eastAsia="Times New Roman" w:hAnsi="Calibri" w:cs="Calibri"/>
                <w:b/>
                <w:bCs/>
                <w:color w:val="FFFFFF"/>
                <w:szCs w:val="21"/>
                <w:lang w:eastAsia="cs-CZ"/>
              </w:rPr>
              <w:t>ČPZP</w:t>
            </w:r>
          </w:p>
        </w:tc>
        <w:tc>
          <w:tcPr>
            <w:tcW w:w="1000" w:type="dxa"/>
            <w:tcBorders>
              <w:top w:val="single" w:sz="8" w:space="0" w:color="4F81BD"/>
              <w:left w:val="nil"/>
              <w:bottom w:val="nil"/>
              <w:right w:val="nil"/>
            </w:tcBorders>
            <w:shd w:val="clear" w:color="000000" w:fill="4F81BD"/>
            <w:noWrap/>
            <w:vAlign w:val="center"/>
            <w:hideMark/>
          </w:tcPr>
          <w:p w14:paraId="14F315DE" w14:textId="77777777" w:rsidR="00337469" w:rsidRPr="00337469" w:rsidRDefault="00337469" w:rsidP="00337469">
            <w:pPr>
              <w:spacing w:after="0" w:line="240" w:lineRule="auto"/>
              <w:jc w:val="center"/>
              <w:rPr>
                <w:rFonts w:ascii="Calibri" w:eastAsia="Times New Roman" w:hAnsi="Calibri" w:cs="Calibri"/>
                <w:b/>
                <w:bCs/>
                <w:color w:val="FFFFFF"/>
                <w:szCs w:val="21"/>
                <w:lang w:eastAsia="cs-CZ"/>
              </w:rPr>
            </w:pPr>
            <w:r w:rsidRPr="00337469">
              <w:rPr>
                <w:rFonts w:ascii="Calibri" w:eastAsia="Times New Roman" w:hAnsi="Calibri" w:cs="Calibri"/>
                <w:b/>
                <w:bCs/>
                <w:color w:val="FFFFFF"/>
                <w:szCs w:val="21"/>
                <w:lang w:eastAsia="cs-CZ"/>
              </w:rPr>
              <w:t>OZP</w:t>
            </w:r>
          </w:p>
        </w:tc>
        <w:tc>
          <w:tcPr>
            <w:tcW w:w="1000" w:type="dxa"/>
            <w:tcBorders>
              <w:top w:val="single" w:sz="8" w:space="0" w:color="4F81BD"/>
              <w:left w:val="nil"/>
              <w:bottom w:val="nil"/>
              <w:right w:val="nil"/>
            </w:tcBorders>
            <w:shd w:val="clear" w:color="000000" w:fill="6691C6"/>
            <w:noWrap/>
            <w:vAlign w:val="center"/>
            <w:hideMark/>
          </w:tcPr>
          <w:p w14:paraId="4C9AB346" w14:textId="77777777" w:rsidR="00337469" w:rsidRPr="00337469" w:rsidRDefault="00337469" w:rsidP="00337469">
            <w:pPr>
              <w:spacing w:after="0" w:line="240" w:lineRule="auto"/>
              <w:jc w:val="center"/>
              <w:rPr>
                <w:rFonts w:ascii="Calibri" w:eastAsia="Times New Roman" w:hAnsi="Calibri" w:cs="Calibri"/>
                <w:b/>
                <w:bCs/>
                <w:color w:val="FFFFFF"/>
                <w:szCs w:val="21"/>
                <w:lang w:eastAsia="cs-CZ"/>
              </w:rPr>
            </w:pPr>
            <w:r w:rsidRPr="00337469">
              <w:rPr>
                <w:rFonts w:ascii="Calibri" w:eastAsia="Times New Roman" w:hAnsi="Calibri" w:cs="Calibri"/>
                <w:b/>
                <w:bCs/>
                <w:color w:val="FFFFFF"/>
                <w:szCs w:val="21"/>
                <w:lang w:eastAsia="cs-CZ"/>
              </w:rPr>
              <w:t>ZPŠ</w:t>
            </w:r>
          </w:p>
        </w:tc>
        <w:tc>
          <w:tcPr>
            <w:tcW w:w="1000" w:type="dxa"/>
            <w:tcBorders>
              <w:top w:val="single" w:sz="8" w:space="0" w:color="4F81BD"/>
              <w:left w:val="nil"/>
              <w:bottom w:val="nil"/>
              <w:right w:val="nil"/>
            </w:tcBorders>
            <w:shd w:val="clear" w:color="000000" w:fill="4F81BD"/>
            <w:noWrap/>
            <w:vAlign w:val="center"/>
            <w:hideMark/>
          </w:tcPr>
          <w:p w14:paraId="65DC6529" w14:textId="77777777" w:rsidR="00337469" w:rsidRPr="00337469" w:rsidRDefault="00337469" w:rsidP="00337469">
            <w:pPr>
              <w:spacing w:after="0" w:line="240" w:lineRule="auto"/>
              <w:jc w:val="center"/>
              <w:rPr>
                <w:rFonts w:ascii="Calibri" w:eastAsia="Times New Roman" w:hAnsi="Calibri" w:cs="Calibri"/>
                <w:b/>
                <w:bCs/>
                <w:color w:val="FFFFFF"/>
                <w:szCs w:val="21"/>
                <w:lang w:eastAsia="cs-CZ"/>
              </w:rPr>
            </w:pPr>
            <w:r w:rsidRPr="00337469">
              <w:rPr>
                <w:rFonts w:ascii="Calibri" w:eastAsia="Times New Roman" w:hAnsi="Calibri" w:cs="Calibri"/>
                <w:b/>
                <w:bCs/>
                <w:color w:val="FFFFFF"/>
                <w:szCs w:val="21"/>
                <w:lang w:eastAsia="cs-CZ"/>
              </w:rPr>
              <w:t>ZP MV ČR</w:t>
            </w:r>
          </w:p>
        </w:tc>
        <w:tc>
          <w:tcPr>
            <w:tcW w:w="1000" w:type="dxa"/>
            <w:tcBorders>
              <w:top w:val="single" w:sz="8" w:space="0" w:color="4F81BD"/>
              <w:left w:val="nil"/>
              <w:bottom w:val="nil"/>
              <w:right w:val="single" w:sz="8" w:space="0" w:color="4F81BD"/>
            </w:tcBorders>
            <w:shd w:val="clear" w:color="000000" w:fill="6691C6"/>
            <w:noWrap/>
            <w:vAlign w:val="center"/>
            <w:hideMark/>
          </w:tcPr>
          <w:p w14:paraId="5321C2D7" w14:textId="77777777" w:rsidR="00337469" w:rsidRPr="00337469" w:rsidRDefault="00337469" w:rsidP="00337469">
            <w:pPr>
              <w:spacing w:after="0" w:line="240" w:lineRule="auto"/>
              <w:jc w:val="center"/>
              <w:rPr>
                <w:rFonts w:ascii="Calibri" w:eastAsia="Times New Roman" w:hAnsi="Calibri" w:cs="Calibri"/>
                <w:b/>
                <w:bCs/>
                <w:color w:val="FFFFFF"/>
                <w:szCs w:val="21"/>
                <w:lang w:eastAsia="cs-CZ"/>
              </w:rPr>
            </w:pPr>
            <w:r w:rsidRPr="00337469">
              <w:rPr>
                <w:rFonts w:ascii="Calibri" w:eastAsia="Times New Roman" w:hAnsi="Calibri" w:cs="Calibri"/>
                <w:b/>
                <w:bCs/>
                <w:color w:val="FFFFFF"/>
                <w:szCs w:val="21"/>
                <w:lang w:eastAsia="cs-CZ"/>
              </w:rPr>
              <w:t>RBP</w:t>
            </w:r>
          </w:p>
        </w:tc>
      </w:tr>
      <w:tr w:rsidR="00337469" w:rsidRPr="00337469" w14:paraId="37097B83" w14:textId="77777777" w:rsidTr="00337469">
        <w:trPr>
          <w:trHeight w:val="559"/>
        </w:trPr>
        <w:tc>
          <w:tcPr>
            <w:tcW w:w="2080" w:type="dxa"/>
            <w:tcBorders>
              <w:top w:val="nil"/>
              <w:left w:val="single" w:sz="8" w:space="0" w:color="4F81BD"/>
              <w:bottom w:val="nil"/>
              <w:right w:val="nil"/>
            </w:tcBorders>
            <w:shd w:val="clear" w:color="auto" w:fill="auto"/>
            <w:vAlign w:val="bottom"/>
            <w:hideMark/>
          </w:tcPr>
          <w:p w14:paraId="1B6CCD9B" w14:textId="77777777" w:rsidR="00337469" w:rsidRPr="00337469" w:rsidRDefault="00337469" w:rsidP="00337469">
            <w:pPr>
              <w:spacing w:after="0" w:line="240" w:lineRule="auto"/>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 xml:space="preserve">Náklady na </w:t>
            </w:r>
            <w:r w:rsidRPr="00337469">
              <w:rPr>
                <w:rFonts w:ascii="Calibri" w:eastAsia="Times New Roman" w:hAnsi="Calibri" w:cs="Calibri"/>
                <w:b/>
                <w:bCs/>
                <w:color w:val="000000"/>
                <w:szCs w:val="21"/>
                <w:lang w:eastAsia="cs-CZ"/>
              </w:rPr>
              <w:br/>
              <w:t>zdravotní programy</w:t>
            </w:r>
          </w:p>
        </w:tc>
        <w:tc>
          <w:tcPr>
            <w:tcW w:w="1000" w:type="dxa"/>
            <w:tcBorders>
              <w:top w:val="nil"/>
              <w:left w:val="nil"/>
              <w:bottom w:val="nil"/>
              <w:right w:val="nil"/>
            </w:tcBorders>
            <w:shd w:val="clear" w:color="000000" w:fill="DCE6F1"/>
            <w:noWrap/>
            <w:vAlign w:val="bottom"/>
            <w:hideMark/>
          </w:tcPr>
          <w:p w14:paraId="38186DFA"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722</w:t>
            </w:r>
          </w:p>
        </w:tc>
        <w:tc>
          <w:tcPr>
            <w:tcW w:w="1000" w:type="dxa"/>
            <w:tcBorders>
              <w:top w:val="nil"/>
              <w:left w:val="nil"/>
              <w:bottom w:val="nil"/>
              <w:right w:val="nil"/>
            </w:tcBorders>
            <w:shd w:val="clear" w:color="auto" w:fill="auto"/>
            <w:noWrap/>
            <w:vAlign w:val="bottom"/>
            <w:hideMark/>
          </w:tcPr>
          <w:p w14:paraId="1C3FF247"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183</w:t>
            </w:r>
          </w:p>
        </w:tc>
        <w:tc>
          <w:tcPr>
            <w:tcW w:w="1000" w:type="dxa"/>
            <w:tcBorders>
              <w:top w:val="nil"/>
              <w:left w:val="nil"/>
              <w:bottom w:val="nil"/>
              <w:right w:val="nil"/>
            </w:tcBorders>
            <w:shd w:val="clear" w:color="000000" w:fill="DCE6F1"/>
            <w:noWrap/>
            <w:vAlign w:val="bottom"/>
            <w:hideMark/>
          </w:tcPr>
          <w:p w14:paraId="5C3E5B31"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368</w:t>
            </w:r>
          </w:p>
        </w:tc>
        <w:tc>
          <w:tcPr>
            <w:tcW w:w="1000" w:type="dxa"/>
            <w:tcBorders>
              <w:top w:val="nil"/>
              <w:left w:val="nil"/>
              <w:bottom w:val="nil"/>
              <w:right w:val="nil"/>
            </w:tcBorders>
            <w:shd w:val="clear" w:color="auto" w:fill="auto"/>
            <w:noWrap/>
            <w:vAlign w:val="bottom"/>
            <w:hideMark/>
          </w:tcPr>
          <w:p w14:paraId="5F3D58FD"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207</w:t>
            </w:r>
          </w:p>
        </w:tc>
        <w:tc>
          <w:tcPr>
            <w:tcW w:w="1000" w:type="dxa"/>
            <w:tcBorders>
              <w:top w:val="nil"/>
              <w:left w:val="nil"/>
              <w:bottom w:val="nil"/>
              <w:right w:val="nil"/>
            </w:tcBorders>
            <w:shd w:val="clear" w:color="000000" w:fill="DCE6F1"/>
            <w:noWrap/>
            <w:vAlign w:val="bottom"/>
            <w:hideMark/>
          </w:tcPr>
          <w:p w14:paraId="4F8BDB38"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10</w:t>
            </w:r>
          </w:p>
        </w:tc>
        <w:tc>
          <w:tcPr>
            <w:tcW w:w="1000" w:type="dxa"/>
            <w:tcBorders>
              <w:top w:val="nil"/>
              <w:left w:val="nil"/>
              <w:bottom w:val="nil"/>
              <w:right w:val="nil"/>
            </w:tcBorders>
            <w:shd w:val="clear" w:color="auto" w:fill="auto"/>
            <w:noWrap/>
            <w:vAlign w:val="bottom"/>
            <w:hideMark/>
          </w:tcPr>
          <w:p w14:paraId="4365D01B"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368</w:t>
            </w:r>
          </w:p>
        </w:tc>
        <w:tc>
          <w:tcPr>
            <w:tcW w:w="1000" w:type="dxa"/>
            <w:tcBorders>
              <w:top w:val="nil"/>
              <w:left w:val="nil"/>
              <w:bottom w:val="nil"/>
              <w:right w:val="single" w:sz="8" w:space="0" w:color="4F81BD"/>
            </w:tcBorders>
            <w:shd w:val="clear" w:color="000000" w:fill="DCE6F1"/>
            <w:noWrap/>
            <w:vAlign w:val="bottom"/>
            <w:hideMark/>
          </w:tcPr>
          <w:p w14:paraId="33ED70B4"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32</w:t>
            </w:r>
          </w:p>
        </w:tc>
      </w:tr>
      <w:tr w:rsidR="00337469" w:rsidRPr="00337469" w14:paraId="524B3F2A" w14:textId="77777777" w:rsidTr="00337469">
        <w:trPr>
          <w:trHeight w:val="559"/>
        </w:trPr>
        <w:tc>
          <w:tcPr>
            <w:tcW w:w="2080" w:type="dxa"/>
            <w:tcBorders>
              <w:top w:val="nil"/>
              <w:left w:val="single" w:sz="8" w:space="0" w:color="4F81BD"/>
              <w:bottom w:val="nil"/>
              <w:right w:val="nil"/>
            </w:tcBorders>
            <w:shd w:val="clear" w:color="000000" w:fill="EEF3F8"/>
            <w:vAlign w:val="bottom"/>
            <w:hideMark/>
          </w:tcPr>
          <w:p w14:paraId="01D42D6E" w14:textId="77777777" w:rsidR="00337469" w:rsidRPr="00337469" w:rsidRDefault="00337469" w:rsidP="00337469">
            <w:pPr>
              <w:spacing w:after="0" w:line="240" w:lineRule="auto"/>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 xml:space="preserve">Náklady na </w:t>
            </w:r>
            <w:r w:rsidRPr="00337469">
              <w:rPr>
                <w:rFonts w:ascii="Calibri" w:eastAsia="Times New Roman" w:hAnsi="Calibri" w:cs="Calibri"/>
                <w:b/>
                <w:bCs/>
                <w:color w:val="000000"/>
                <w:szCs w:val="21"/>
                <w:lang w:eastAsia="cs-CZ"/>
              </w:rPr>
              <w:br/>
              <w:t>ozdravné pobyty</w:t>
            </w:r>
          </w:p>
        </w:tc>
        <w:tc>
          <w:tcPr>
            <w:tcW w:w="1000" w:type="dxa"/>
            <w:tcBorders>
              <w:top w:val="nil"/>
              <w:left w:val="nil"/>
              <w:bottom w:val="nil"/>
              <w:right w:val="nil"/>
            </w:tcBorders>
            <w:shd w:val="clear" w:color="000000" w:fill="EEF3F8"/>
            <w:noWrap/>
            <w:vAlign w:val="bottom"/>
            <w:hideMark/>
          </w:tcPr>
          <w:p w14:paraId="43DF8A76"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0</w:t>
            </w:r>
          </w:p>
        </w:tc>
        <w:tc>
          <w:tcPr>
            <w:tcW w:w="1000" w:type="dxa"/>
            <w:tcBorders>
              <w:top w:val="nil"/>
              <w:left w:val="nil"/>
              <w:bottom w:val="nil"/>
              <w:right w:val="nil"/>
            </w:tcBorders>
            <w:shd w:val="clear" w:color="000000" w:fill="EEF3F8"/>
            <w:noWrap/>
            <w:vAlign w:val="bottom"/>
            <w:hideMark/>
          </w:tcPr>
          <w:p w14:paraId="71CF9EDE"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5</w:t>
            </w:r>
          </w:p>
        </w:tc>
        <w:tc>
          <w:tcPr>
            <w:tcW w:w="1000" w:type="dxa"/>
            <w:tcBorders>
              <w:top w:val="nil"/>
              <w:left w:val="nil"/>
              <w:bottom w:val="nil"/>
              <w:right w:val="nil"/>
            </w:tcBorders>
            <w:shd w:val="clear" w:color="000000" w:fill="EEF3F8"/>
            <w:noWrap/>
            <w:vAlign w:val="bottom"/>
            <w:hideMark/>
          </w:tcPr>
          <w:p w14:paraId="450E9EDD"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3</w:t>
            </w:r>
          </w:p>
        </w:tc>
        <w:tc>
          <w:tcPr>
            <w:tcW w:w="1000" w:type="dxa"/>
            <w:tcBorders>
              <w:top w:val="nil"/>
              <w:left w:val="nil"/>
              <w:bottom w:val="nil"/>
              <w:right w:val="nil"/>
            </w:tcBorders>
            <w:shd w:val="clear" w:color="000000" w:fill="EEF3F8"/>
            <w:noWrap/>
            <w:vAlign w:val="bottom"/>
            <w:hideMark/>
          </w:tcPr>
          <w:p w14:paraId="5CF153A2"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6</w:t>
            </w:r>
          </w:p>
        </w:tc>
        <w:tc>
          <w:tcPr>
            <w:tcW w:w="1000" w:type="dxa"/>
            <w:tcBorders>
              <w:top w:val="nil"/>
              <w:left w:val="nil"/>
              <w:bottom w:val="nil"/>
              <w:right w:val="nil"/>
            </w:tcBorders>
            <w:shd w:val="clear" w:color="000000" w:fill="EEF3F8"/>
            <w:noWrap/>
            <w:vAlign w:val="bottom"/>
            <w:hideMark/>
          </w:tcPr>
          <w:p w14:paraId="31225567"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2</w:t>
            </w:r>
          </w:p>
        </w:tc>
        <w:tc>
          <w:tcPr>
            <w:tcW w:w="1000" w:type="dxa"/>
            <w:tcBorders>
              <w:top w:val="nil"/>
              <w:left w:val="nil"/>
              <w:bottom w:val="nil"/>
              <w:right w:val="nil"/>
            </w:tcBorders>
            <w:shd w:val="clear" w:color="000000" w:fill="EEF3F8"/>
            <w:noWrap/>
            <w:vAlign w:val="bottom"/>
            <w:hideMark/>
          </w:tcPr>
          <w:p w14:paraId="0D332B4F"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19</w:t>
            </w:r>
          </w:p>
        </w:tc>
        <w:tc>
          <w:tcPr>
            <w:tcW w:w="1000" w:type="dxa"/>
            <w:tcBorders>
              <w:top w:val="nil"/>
              <w:left w:val="nil"/>
              <w:bottom w:val="nil"/>
              <w:right w:val="single" w:sz="8" w:space="0" w:color="4F81BD"/>
            </w:tcBorders>
            <w:shd w:val="clear" w:color="000000" w:fill="EEF3F8"/>
            <w:noWrap/>
            <w:vAlign w:val="bottom"/>
            <w:hideMark/>
          </w:tcPr>
          <w:p w14:paraId="7F1135D6"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15</w:t>
            </w:r>
          </w:p>
        </w:tc>
      </w:tr>
      <w:tr w:rsidR="00337469" w:rsidRPr="00337469" w14:paraId="2423D00A" w14:textId="77777777" w:rsidTr="00337469">
        <w:trPr>
          <w:trHeight w:val="300"/>
        </w:trPr>
        <w:tc>
          <w:tcPr>
            <w:tcW w:w="2080" w:type="dxa"/>
            <w:tcBorders>
              <w:top w:val="nil"/>
              <w:left w:val="single" w:sz="8" w:space="0" w:color="4F81BD"/>
              <w:bottom w:val="nil"/>
              <w:right w:val="nil"/>
            </w:tcBorders>
            <w:shd w:val="clear" w:color="auto" w:fill="auto"/>
            <w:vAlign w:val="bottom"/>
            <w:hideMark/>
          </w:tcPr>
          <w:p w14:paraId="2BC301CE" w14:textId="77777777" w:rsidR="00337469" w:rsidRPr="00337469" w:rsidRDefault="00337469" w:rsidP="00337469">
            <w:pPr>
              <w:spacing w:after="0" w:line="240" w:lineRule="auto"/>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Ostatní činnosti</w:t>
            </w:r>
          </w:p>
        </w:tc>
        <w:tc>
          <w:tcPr>
            <w:tcW w:w="1000" w:type="dxa"/>
            <w:tcBorders>
              <w:top w:val="nil"/>
              <w:left w:val="nil"/>
              <w:bottom w:val="nil"/>
              <w:right w:val="nil"/>
            </w:tcBorders>
            <w:shd w:val="clear" w:color="000000" w:fill="DCE6F1"/>
            <w:noWrap/>
            <w:vAlign w:val="bottom"/>
            <w:hideMark/>
          </w:tcPr>
          <w:p w14:paraId="7329039D"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233</w:t>
            </w:r>
          </w:p>
        </w:tc>
        <w:tc>
          <w:tcPr>
            <w:tcW w:w="1000" w:type="dxa"/>
            <w:tcBorders>
              <w:top w:val="nil"/>
              <w:left w:val="nil"/>
              <w:bottom w:val="nil"/>
              <w:right w:val="nil"/>
            </w:tcBorders>
            <w:shd w:val="clear" w:color="auto" w:fill="auto"/>
            <w:noWrap/>
            <w:vAlign w:val="bottom"/>
            <w:hideMark/>
          </w:tcPr>
          <w:p w14:paraId="077C9EB1"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2</w:t>
            </w:r>
          </w:p>
        </w:tc>
        <w:tc>
          <w:tcPr>
            <w:tcW w:w="1000" w:type="dxa"/>
            <w:tcBorders>
              <w:top w:val="nil"/>
              <w:left w:val="nil"/>
              <w:bottom w:val="nil"/>
              <w:right w:val="nil"/>
            </w:tcBorders>
            <w:shd w:val="clear" w:color="000000" w:fill="DCE6F1"/>
            <w:noWrap/>
            <w:vAlign w:val="bottom"/>
            <w:hideMark/>
          </w:tcPr>
          <w:p w14:paraId="52E09B21"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0</w:t>
            </w:r>
          </w:p>
        </w:tc>
        <w:tc>
          <w:tcPr>
            <w:tcW w:w="1000" w:type="dxa"/>
            <w:tcBorders>
              <w:top w:val="nil"/>
              <w:left w:val="nil"/>
              <w:bottom w:val="nil"/>
              <w:right w:val="nil"/>
            </w:tcBorders>
            <w:shd w:val="clear" w:color="auto" w:fill="auto"/>
            <w:noWrap/>
            <w:vAlign w:val="bottom"/>
            <w:hideMark/>
          </w:tcPr>
          <w:p w14:paraId="0DAC2EFD"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0</w:t>
            </w:r>
          </w:p>
        </w:tc>
        <w:tc>
          <w:tcPr>
            <w:tcW w:w="1000" w:type="dxa"/>
            <w:tcBorders>
              <w:top w:val="nil"/>
              <w:left w:val="nil"/>
              <w:bottom w:val="nil"/>
              <w:right w:val="nil"/>
            </w:tcBorders>
            <w:shd w:val="clear" w:color="000000" w:fill="DCE6F1"/>
            <w:noWrap/>
            <w:vAlign w:val="bottom"/>
            <w:hideMark/>
          </w:tcPr>
          <w:p w14:paraId="219345E7"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33</w:t>
            </w:r>
          </w:p>
        </w:tc>
        <w:tc>
          <w:tcPr>
            <w:tcW w:w="1000" w:type="dxa"/>
            <w:tcBorders>
              <w:top w:val="nil"/>
              <w:left w:val="nil"/>
              <w:bottom w:val="nil"/>
              <w:right w:val="nil"/>
            </w:tcBorders>
            <w:shd w:val="clear" w:color="auto" w:fill="auto"/>
            <w:noWrap/>
            <w:vAlign w:val="bottom"/>
            <w:hideMark/>
          </w:tcPr>
          <w:p w14:paraId="29ED65EB"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0</w:t>
            </w:r>
          </w:p>
        </w:tc>
        <w:tc>
          <w:tcPr>
            <w:tcW w:w="1000" w:type="dxa"/>
            <w:tcBorders>
              <w:top w:val="nil"/>
              <w:left w:val="nil"/>
              <w:bottom w:val="nil"/>
              <w:right w:val="single" w:sz="8" w:space="0" w:color="4F81BD"/>
            </w:tcBorders>
            <w:shd w:val="clear" w:color="000000" w:fill="DCE6F1"/>
            <w:noWrap/>
            <w:vAlign w:val="bottom"/>
            <w:hideMark/>
          </w:tcPr>
          <w:p w14:paraId="136BA84A"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57</w:t>
            </w:r>
          </w:p>
        </w:tc>
      </w:tr>
      <w:tr w:rsidR="00337469" w:rsidRPr="00337469" w14:paraId="0BD8F45D" w14:textId="77777777" w:rsidTr="00337469">
        <w:trPr>
          <w:trHeight w:val="559"/>
        </w:trPr>
        <w:tc>
          <w:tcPr>
            <w:tcW w:w="2080" w:type="dxa"/>
            <w:tcBorders>
              <w:top w:val="nil"/>
              <w:left w:val="single" w:sz="8" w:space="0" w:color="4F81BD"/>
              <w:bottom w:val="nil"/>
              <w:right w:val="nil"/>
            </w:tcBorders>
            <w:shd w:val="clear" w:color="000000" w:fill="EEF3F8"/>
            <w:vAlign w:val="bottom"/>
            <w:hideMark/>
          </w:tcPr>
          <w:p w14:paraId="0CF0C91B" w14:textId="77777777" w:rsidR="00337469" w:rsidRPr="00337469" w:rsidRDefault="00337469" w:rsidP="00337469">
            <w:pPr>
              <w:spacing w:after="0" w:line="240" w:lineRule="auto"/>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 xml:space="preserve">Z jiných zdrojů </w:t>
            </w:r>
            <w:r w:rsidRPr="00337469">
              <w:rPr>
                <w:rFonts w:ascii="Calibri" w:eastAsia="Times New Roman" w:hAnsi="Calibri" w:cs="Calibri"/>
                <w:b/>
                <w:bCs/>
                <w:color w:val="000000"/>
                <w:szCs w:val="21"/>
                <w:lang w:eastAsia="cs-CZ"/>
              </w:rPr>
              <w:br/>
            </w:r>
            <w:r w:rsidRPr="00337469">
              <w:rPr>
                <w:rFonts w:ascii="Calibri" w:eastAsia="Times New Roman" w:hAnsi="Calibri" w:cs="Calibri"/>
                <w:color w:val="000000"/>
                <w:szCs w:val="21"/>
                <w:lang w:eastAsia="cs-CZ"/>
              </w:rPr>
              <w:t>(VoZP ČR)</w:t>
            </w:r>
          </w:p>
        </w:tc>
        <w:tc>
          <w:tcPr>
            <w:tcW w:w="1000" w:type="dxa"/>
            <w:tcBorders>
              <w:top w:val="nil"/>
              <w:left w:val="nil"/>
              <w:bottom w:val="nil"/>
              <w:right w:val="nil"/>
            </w:tcBorders>
            <w:shd w:val="clear" w:color="000000" w:fill="EEF3F8"/>
            <w:noWrap/>
            <w:vAlign w:val="bottom"/>
            <w:hideMark/>
          </w:tcPr>
          <w:p w14:paraId="0C5FD080" w14:textId="77777777" w:rsidR="00337469" w:rsidRPr="00337469" w:rsidRDefault="00337469" w:rsidP="00337469">
            <w:pPr>
              <w:spacing w:after="0" w:line="240" w:lineRule="auto"/>
              <w:ind w:firstLineChars="100" w:firstLine="210"/>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w:t>
            </w:r>
          </w:p>
        </w:tc>
        <w:tc>
          <w:tcPr>
            <w:tcW w:w="1000" w:type="dxa"/>
            <w:tcBorders>
              <w:top w:val="nil"/>
              <w:left w:val="nil"/>
              <w:bottom w:val="nil"/>
              <w:right w:val="nil"/>
            </w:tcBorders>
            <w:shd w:val="clear" w:color="000000" w:fill="EEF3F8"/>
            <w:noWrap/>
            <w:vAlign w:val="bottom"/>
            <w:hideMark/>
          </w:tcPr>
          <w:p w14:paraId="52CE811C" w14:textId="77777777" w:rsidR="00337469" w:rsidRPr="00337469" w:rsidRDefault="00337469" w:rsidP="00337469">
            <w:pPr>
              <w:spacing w:after="0" w:line="240" w:lineRule="auto"/>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22</w:t>
            </w:r>
          </w:p>
        </w:tc>
        <w:tc>
          <w:tcPr>
            <w:tcW w:w="1000" w:type="dxa"/>
            <w:tcBorders>
              <w:top w:val="nil"/>
              <w:left w:val="nil"/>
              <w:bottom w:val="nil"/>
              <w:right w:val="nil"/>
            </w:tcBorders>
            <w:shd w:val="clear" w:color="000000" w:fill="EEF3F8"/>
            <w:noWrap/>
            <w:vAlign w:val="bottom"/>
            <w:hideMark/>
          </w:tcPr>
          <w:p w14:paraId="573BFB5E" w14:textId="77777777" w:rsidR="00337469" w:rsidRPr="00337469" w:rsidRDefault="00337469" w:rsidP="00337469">
            <w:pPr>
              <w:spacing w:after="0" w:line="240" w:lineRule="auto"/>
              <w:ind w:firstLineChars="100" w:firstLine="210"/>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w:t>
            </w:r>
          </w:p>
        </w:tc>
        <w:tc>
          <w:tcPr>
            <w:tcW w:w="1000" w:type="dxa"/>
            <w:tcBorders>
              <w:top w:val="nil"/>
              <w:left w:val="nil"/>
              <w:bottom w:val="nil"/>
              <w:right w:val="nil"/>
            </w:tcBorders>
            <w:shd w:val="clear" w:color="000000" w:fill="EEF3F8"/>
            <w:noWrap/>
            <w:vAlign w:val="bottom"/>
            <w:hideMark/>
          </w:tcPr>
          <w:p w14:paraId="33272A14" w14:textId="77777777" w:rsidR="00337469" w:rsidRPr="00337469" w:rsidRDefault="00337469" w:rsidP="00337469">
            <w:pPr>
              <w:spacing w:after="0" w:line="240" w:lineRule="auto"/>
              <w:ind w:firstLineChars="100" w:firstLine="210"/>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w:t>
            </w:r>
          </w:p>
        </w:tc>
        <w:tc>
          <w:tcPr>
            <w:tcW w:w="1000" w:type="dxa"/>
            <w:tcBorders>
              <w:top w:val="nil"/>
              <w:left w:val="nil"/>
              <w:bottom w:val="nil"/>
              <w:right w:val="nil"/>
            </w:tcBorders>
            <w:shd w:val="clear" w:color="000000" w:fill="EEF3F8"/>
            <w:noWrap/>
            <w:vAlign w:val="bottom"/>
            <w:hideMark/>
          </w:tcPr>
          <w:p w14:paraId="00860E72" w14:textId="77777777" w:rsidR="00337469" w:rsidRPr="00337469" w:rsidRDefault="00337469" w:rsidP="00337469">
            <w:pPr>
              <w:spacing w:after="0" w:line="240" w:lineRule="auto"/>
              <w:ind w:firstLineChars="100" w:firstLine="210"/>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w:t>
            </w:r>
          </w:p>
        </w:tc>
        <w:tc>
          <w:tcPr>
            <w:tcW w:w="1000" w:type="dxa"/>
            <w:tcBorders>
              <w:top w:val="nil"/>
              <w:left w:val="nil"/>
              <w:bottom w:val="nil"/>
              <w:right w:val="nil"/>
            </w:tcBorders>
            <w:shd w:val="clear" w:color="000000" w:fill="EEF3F8"/>
            <w:noWrap/>
            <w:vAlign w:val="bottom"/>
            <w:hideMark/>
          </w:tcPr>
          <w:p w14:paraId="31E4E256" w14:textId="77777777" w:rsidR="00337469" w:rsidRPr="00337469" w:rsidRDefault="00337469" w:rsidP="00337469">
            <w:pPr>
              <w:spacing w:after="0" w:line="240" w:lineRule="auto"/>
              <w:ind w:firstLineChars="100" w:firstLine="210"/>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w:t>
            </w:r>
          </w:p>
        </w:tc>
        <w:tc>
          <w:tcPr>
            <w:tcW w:w="1000" w:type="dxa"/>
            <w:tcBorders>
              <w:top w:val="nil"/>
              <w:left w:val="nil"/>
              <w:bottom w:val="nil"/>
              <w:right w:val="single" w:sz="8" w:space="0" w:color="4F81BD"/>
            </w:tcBorders>
            <w:shd w:val="clear" w:color="000000" w:fill="EEF3F8"/>
            <w:noWrap/>
            <w:vAlign w:val="bottom"/>
            <w:hideMark/>
          </w:tcPr>
          <w:p w14:paraId="34CBDC8E" w14:textId="77777777" w:rsidR="00337469" w:rsidRPr="00337469" w:rsidRDefault="00337469" w:rsidP="00337469">
            <w:pPr>
              <w:spacing w:after="0" w:line="240" w:lineRule="auto"/>
              <w:ind w:firstLineChars="100" w:firstLine="210"/>
              <w:jc w:val="right"/>
              <w:rPr>
                <w:rFonts w:ascii="Calibri" w:eastAsia="Times New Roman" w:hAnsi="Calibri" w:cs="Calibri"/>
                <w:color w:val="000000"/>
                <w:szCs w:val="21"/>
                <w:lang w:eastAsia="cs-CZ"/>
              </w:rPr>
            </w:pPr>
            <w:r w:rsidRPr="00337469">
              <w:rPr>
                <w:rFonts w:ascii="Calibri" w:eastAsia="Times New Roman" w:hAnsi="Calibri" w:cs="Calibri"/>
                <w:color w:val="000000"/>
                <w:szCs w:val="21"/>
                <w:lang w:eastAsia="cs-CZ"/>
              </w:rPr>
              <w:t>–</w:t>
            </w:r>
          </w:p>
        </w:tc>
      </w:tr>
      <w:tr w:rsidR="00337469" w:rsidRPr="00337469" w14:paraId="39487938" w14:textId="77777777" w:rsidTr="00337469">
        <w:trPr>
          <w:trHeight w:val="300"/>
        </w:trPr>
        <w:tc>
          <w:tcPr>
            <w:tcW w:w="2080" w:type="dxa"/>
            <w:tcBorders>
              <w:top w:val="nil"/>
              <w:left w:val="single" w:sz="8" w:space="0" w:color="4F81BD"/>
              <w:bottom w:val="single" w:sz="8" w:space="0" w:color="4F81BD"/>
              <w:right w:val="nil"/>
            </w:tcBorders>
            <w:shd w:val="clear" w:color="auto" w:fill="auto"/>
            <w:vAlign w:val="bottom"/>
            <w:hideMark/>
          </w:tcPr>
          <w:p w14:paraId="1D235B88" w14:textId="77777777" w:rsidR="00337469" w:rsidRPr="00337469" w:rsidRDefault="00337469" w:rsidP="00337469">
            <w:pPr>
              <w:spacing w:after="0" w:line="240" w:lineRule="auto"/>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Celkové náklady</w:t>
            </w:r>
          </w:p>
        </w:tc>
        <w:tc>
          <w:tcPr>
            <w:tcW w:w="1000" w:type="dxa"/>
            <w:tcBorders>
              <w:top w:val="nil"/>
              <w:left w:val="nil"/>
              <w:bottom w:val="single" w:sz="8" w:space="0" w:color="4F81BD"/>
              <w:right w:val="nil"/>
            </w:tcBorders>
            <w:shd w:val="clear" w:color="000000" w:fill="DCE6F1"/>
            <w:noWrap/>
            <w:vAlign w:val="bottom"/>
            <w:hideMark/>
          </w:tcPr>
          <w:p w14:paraId="707B3407" w14:textId="77777777" w:rsidR="00337469" w:rsidRPr="00337469" w:rsidRDefault="00337469" w:rsidP="00337469">
            <w:pPr>
              <w:spacing w:after="0" w:line="240" w:lineRule="auto"/>
              <w:jc w:val="right"/>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955</w:t>
            </w:r>
          </w:p>
        </w:tc>
        <w:tc>
          <w:tcPr>
            <w:tcW w:w="1000" w:type="dxa"/>
            <w:tcBorders>
              <w:top w:val="nil"/>
              <w:left w:val="nil"/>
              <w:bottom w:val="single" w:sz="8" w:space="0" w:color="4F81BD"/>
              <w:right w:val="nil"/>
            </w:tcBorders>
            <w:shd w:val="clear" w:color="000000" w:fill="DCE6F1"/>
            <w:noWrap/>
            <w:vAlign w:val="bottom"/>
            <w:hideMark/>
          </w:tcPr>
          <w:p w14:paraId="4187DAE7" w14:textId="77777777" w:rsidR="00337469" w:rsidRPr="00337469" w:rsidRDefault="00337469" w:rsidP="00337469">
            <w:pPr>
              <w:spacing w:after="0" w:line="240" w:lineRule="auto"/>
              <w:jc w:val="right"/>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211</w:t>
            </w:r>
          </w:p>
        </w:tc>
        <w:tc>
          <w:tcPr>
            <w:tcW w:w="1000" w:type="dxa"/>
            <w:tcBorders>
              <w:top w:val="nil"/>
              <w:left w:val="nil"/>
              <w:bottom w:val="single" w:sz="8" w:space="0" w:color="4F81BD"/>
              <w:right w:val="nil"/>
            </w:tcBorders>
            <w:shd w:val="clear" w:color="000000" w:fill="DCE6F1"/>
            <w:noWrap/>
            <w:vAlign w:val="bottom"/>
            <w:hideMark/>
          </w:tcPr>
          <w:p w14:paraId="13E5B6CC" w14:textId="77777777" w:rsidR="00337469" w:rsidRPr="00337469" w:rsidRDefault="00337469" w:rsidP="00337469">
            <w:pPr>
              <w:spacing w:after="0" w:line="240" w:lineRule="auto"/>
              <w:jc w:val="right"/>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371</w:t>
            </w:r>
          </w:p>
        </w:tc>
        <w:tc>
          <w:tcPr>
            <w:tcW w:w="1000" w:type="dxa"/>
            <w:tcBorders>
              <w:top w:val="nil"/>
              <w:left w:val="nil"/>
              <w:bottom w:val="single" w:sz="8" w:space="0" w:color="4F81BD"/>
              <w:right w:val="nil"/>
            </w:tcBorders>
            <w:shd w:val="clear" w:color="auto" w:fill="auto"/>
            <w:noWrap/>
            <w:vAlign w:val="bottom"/>
            <w:hideMark/>
          </w:tcPr>
          <w:p w14:paraId="6EA272A5" w14:textId="77777777" w:rsidR="00337469" w:rsidRPr="00337469" w:rsidRDefault="00337469" w:rsidP="00337469">
            <w:pPr>
              <w:spacing w:after="0" w:line="240" w:lineRule="auto"/>
              <w:jc w:val="right"/>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213</w:t>
            </w:r>
          </w:p>
        </w:tc>
        <w:tc>
          <w:tcPr>
            <w:tcW w:w="1000" w:type="dxa"/>
            <w:tcBorders>
              <w:top w:val="nil"/>
              <w:left w:val="nil"/>
              <w:bottom w:val="single" w:sz="8" w:space="0" w:color="4F81BD"/>
              <w:right w:val="nil"/>
            </w:tcBorders>
            <w:shd w:val="clear" w:color="000000" w:fill="DCE6F1"/>
            <w:noWrap/>
            <w:vAlign w:val="bottom"/>
            <w:hideMark/>
          </w:tcPr>
          <w:p w14:paraId="6915092B" w14:textId="77777777" w:rsidR="00337469" w:rsidRPr="00337469" w:rsidRDefault="00337469" w:rsidP="00337469">
            <w:pPr>
              <w:spacing w:after="0" w:line="240" w:lineRule="auto"/>
              <w:jc w:val="right"/>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46</w:t>
            </w:r>
          </w:p>
        </w:tc>
        <w:tc>
          <w:tcPr>
            <w:tcW w:w="1000" w:type="dxa"/>
            <w:tcBorders>
              <w:top w:val="nil"/>
              <w:left w:val="nil"/>
              <w:bottom w:val="single" w:sz="8" w:space="0" w:color="4F81BD"/>
              <w:right w:val="nil"/>
            </w:tcBorders>
            <w:shd w:val="clear" w:color="auto" w:fill="auto"/>
            <w:noWrap/>
            <w:vAlign w:val="bottom"/>
            <w:hideMark/>
          </w:tcPr>
          <w:p w14:paraId="670D9FBE" w14:textId="77777777" w:rsidR="00337469" w:rsidRPr="00337469" w:rsidRDefault="00337469" w:rsidP="00337469">
            <w:pPr>
              <w:spacing w:after="0" w:line="240" w:lineRule="auto"/>
              <w:jc w:val="right"/>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387</w:t>
            </w:r>
          </w:p>
        </w:tc>
        <w:tc>
          <w:tcPr>
            <w:tcW w:w="1000" w:type="dxa"/>
            <w:tcBorders>
              <w:top w:val="nil"/>
              <w:left w:val="nil"/>
              <w:bottom w:val="single" w:sz="8" w:space="0" w:color="4F81BD"/>
              <w:right w:val="single" w:sz="8" w:space="0" w:color="4F81BD"/>
            </w:tcBorders>
            <w:shd w:val="clear" w:color="000000" w:fill="DCE6F1"/>
            <w:noWrap/>
            <w:vAlign w:val="bottom"/>
            <w:hideMark/>
          </w:tcPr>
          <w:p w14:paraId="10B63629" w14:textId="77777777" w:rsidR="00337469" w:rsidRPr="00337469" w:rsidRDefault="00337469" w:rsidP="00337469">
            <w:pPr>
              <w:spacing w:after="0" w:line="240" w:lineRule="auto"/>
              <w:jc w:val="right"/>
              <w:rPr>
                <w:rFonts w:ascii="Calibri" w:eastAsia="Times New Roman" w:hAnsi="Calibri" w:cs="Calibri"/>
                <w:b/>
                <w:bCs/>
                <w:color w:val="000000"/>
                <w:szCs w:val="21"/>
                <w:lang w:eastAsia="cs-CZ"/>
              </w:rPr>
            </w:pPr>
            <w:r w:rsidRPr="00337469">
              <w:rPr>
                <w:rFonts w:ascii="Calibri" w:eastAsia="Times New Roman" w:hAnsi="Calibri" w:cs="Calibri"/>
                <w:b/>
                <w:bCs/>
                <w:color w:val="000000"/>
                <w:szCs w:val="21"/>
                <w:lang w:eastAsia="cs-CZ"/>
              </w:rPr>
              <w:t>103</w:t>
            </w:r>
          </w:p>
        </w:tc>
      </w:tr>
    </w:tbl>
    <w:p w14:paraId="2C796DC3" w14:textId="77777777" w:rsidR="00337469" w:rsidRPr="008C1EAB" w:rsidRDefault="00337469" w:rsidP="004F12DF">
      <w:pPr>
        <w:rPr>
          <w:highlight w:val="yellow"/>
          <w:lang w:bidi="hi-IN"/>
        </w:rPr>
      </w:pPr>
    </w:p>
    <w:p w14:paraId="149B782F" w14:textId="77777777" w:rsidR="001703E0" w:rsidRPr="008C1EAB" w:rsidRDefault="001703E0">
      <w:pPr>
        <w:spacing w:after="200" w:line="276" w:lineRule="auto"/>
        <w:rPr>
          <w:highlight w:val="yellow"/>
        </w:rPr>
      </w:pPr>
      <w:r w:rsidRPr="008C1EAB">
        <w:rPr>
          <w:highlight w:val="yellow"/>
        </w:rPr>
        <w:br w:type="page"/>
      </w:r>
    </w:p>
    <w:p w14:paraId="2B5E5B7F" w14:textId="45042FDC" w:rsidR="001703E0" w:rsidRPr="003A2470" w:rsidRDefault="001703E0" w:rsidP="007327D1">
      <w:pPr>
        <w:pStyle w:val="Nadpis2"/>
        <w:rPr>
          <w:rFonts w:asciiTheme="minorHAnsi" w:hAnsiTheme="minorHAnsi" w:cstheme="minorHAnsi"/>
          <w:szCs w:val="28"/>
        </w:rPr>
      </w:pPr>
      <w:bookmarkStart w:id="72" w:name="_Toc169176583"/>
      <w:bookmarkStart w:id="73" w:name="_Hlk72498049"/>
      <w:r w:rsidRPr="003A2470">
        <w:rPr>
          <w:rFonts w:asciiTheme="minorHAnsi" w:hAnsiTheme="minorHAnsi" w:cstheme="minorHAnsi"/>
          <w:szCs w:val="28"/>
        </w:rPr>
        <w:t>Kontroly a šetření zdravotních pojišťoven v roce 20</w:t>
      </w:r>
      <w:r w:rsidR="00691EF0" w:rsidRPr="003A2470">
        <w:rPr>
          <w:rFonts w:asciiTheme="minorHAnsi" w:hAnsiTheme="minorHAnsi" w:cstheme="minorHAnsi"/>
          <w:szCs w:val="28"/>
        </w:rPr>
        <w:t>2</w:t>
      </w:r>
      <w:r w:rsidR="008C1EAB" w:rsidRPr="003A2470">
        <w:rPr>
          <w:rFonts w:asciiTheme="minorHAnsi" w:hAnsiTheme="minorHAnsi" w:cstheme="minorHAnsi"/>
          <w:szCs w:val="28"/>
        </w:rPr>
        <w:t>3</w:t>
      </w:r>
      <w:bookmarkEnd w:id="72"/>
    </w:p>
    <w:bookmarkEnd w:id="40"/>
    <w:bookmarkEnd w:id="73"/>
    <w:p w14:paraId="75FD63C5" w14:textId="6F50A5F6" w:rsidR="00462D96" w:rsidRPr="007B6C79" w:rsidRDefault="00462D96" w:rsidP="00462D96">
      <w:pPr>
        <w:spacing w:before="120" w:after="0" w:line="276" w:lineRule="auto"/>
        <w:jc w:val="both"/>
        <w:rPr>
          <w:rFonts w:eastAsiaTheme="minorEastAsia" w:cstheme="minorHAnsi"/>
          <w:szCs w:val="21"/>
        </w:rPr>
      </w:pPr>
      <w:r w:rsidRPr="007B6C79">
        <w:rPr>
          <w:rFonts w:eastAsiaTheme="minorEastAsia" w:cstheme="minorHAnsi"/>
          <w:szCs w:val="21"/>
        </w:rPr>
        <w:t>Ministerstvo zdravotnictví kontroluje hospodaření zdravotních pojišťoven v součinnosti s Ministerstvem financí</w:t>
      </w:r>
      <w:r w:rsidRPr="007B6C79">
        <w:rPr>
          <w:rStyle w:val="Znakapoznpodarou"/>
          <w:rFonts w:eastAsiaTheme="minorEastAsia" w:cstheme="minorHAnsi"/>
          <w:szCs w:val="21"/>
        </w:rPr>
        <w:footnoteReference w:id="10"/>
      </w:r>
      <w:r w:rsidRPr="007B6C79">
        <w:rPr>
          <w:rFonts w:eastAsiaTheme="minorEastAsia" w:cstheme="minorHAnsi"/>
          <w:szCs w:val="21"/>
        </w:rPr>
        <w:t xml:space="preserve">. </w:t>
      </w:r>
    </w:p>
    <w:p w14:paraId="14E97D85" w14:textId="77777777" w:rsidR="00462D96" w:rsidRPr="007B6C79" w:rsidRDefault="00462D96" w:rsidP="00462D96">
      <w:pPr>
        <w:spacing w:before="120" w:after="0" w:line="276" w:lineRule="auto"/>
        <w:jc w:val="both"/>
        <w:rPr>
          <w:rFonts w:eastAsiaTheme="minorEastAsia" w:cstheme="minorHAnsi"/>
          <w:szCs w:val="21"/>
        </w:rPr>
      </w:pPr>
      <w:r w:rsidRPr="007B6C79">
        <w:rPr>
          <w:rFonts w:eastAsiaTheme="minorEastAsia" w:cstheme="minorHAnsi"/>
          <w:szCs w:val="21"/>
        </w:rPr>
        <w:t xml:space="preserve">V průběhu roku 2023 byly ukončeny tyto kontroly a šetření (jednotlivá kontrolní zjištění směřují do kontrolovaného období): </w:t>
      </w:r>
    </w:p>
    <w:p w14:paraId="5C812205" w14:textId="03FBBFF6" w:rsidR="00462D96" w:rsidRPr="007B6C79" w:rsidRDefault="007B6C79" w:rsidP="007B6C79">
      <w:pPr>
        <w:spacing w:before="120" w:after="0" w:line="276" w:lineRule="auto"/>
        <w:jc w:val="both"/>
        <w:rPr>
          <w:rFonts w:cstheme="minorHAnsi"/>
          <w:b/>
          <w:sz w:val="22"/>
        </w:rPr>
      </w:pPr>
      <w:bookmarkStart w:id="74" w:name="_Hlk103926302"/>
      <w:r w:rsidRPr="007B6C79">
        <w:rPr>
          <w:rFonts w:cstheme="minorHAnsi"/>
          <w:b/>
          <w:sz w:val="22"/>
        </w:rPr>
        <w:t>K</w:t>
      </w:r>
      <w:r w:rsidR="00462D96" w:rsidRPr="007B6C79">
        <w:rPr>
          <w:rFonts w:cstheme="minorHAnsi"/>
          <w:b/>
          <w:sz w:val="22"/>
        </w:rPr>
        <w:t>ontrola realizace a účinnosti opatření přijatých k odstranění nebo prevenci nedostatků zjištěných při předcházejících kontrolách v RBP, zdravotní pojišťovně</w:t>
      </w:r>
      <w:r w:rsidR="00462D96" w:rsidRPr="007B6C79">
        <w:rPr>
          <w:rFonts w:cstheme="minorHAnsi"/>
          <w:bCs/>
          <w:sz w:val="22"/>
        </w:rPr>
        <w:t xml:space="preserve"> </w:t>
      </w:r>
    </w:p>
    <w:p w14:paraId="6102F753" w14:textId="07EB2A2D" w:rsidR="00462D96" w:rsidRPr="007B6C79" w:rsidRDefault="00462D96" w:rsidP="00462D96">
      <w:pPr>
        <w:spacing w:before="120" w:after="0" w:line="276" w:lineRule="auto"/>
        <w:jc w:val="both"/>
        <w:rPr>
          <w:rFonts w:cstheme="minorHAnsi"/>
          <w:bCs/>
          <w:szCs w:val="21"/>
        </w:rPr>
      </w:pPr>
      <w:bookmarkStart w:id="75" w:name="_Hlk167437308"/>
      <w:r w:rsidRPr="007B6C79">
        <w:rPr>
          <w:rFonts w:eastAsiaTheme="minorEastAsia" w:cstheme="minorHAnsi"/>
          <w:szCs w:val="21"/>
        </w:rPr>
        <w:t xml:space="preserve">Předmětem kontroly bylo ověření realizace a účinnosti opatření k nápravě přijatých RBP k odstranění nebo prevenci nedostatků zjištěných při předcházejících kontrolách </w:t>
      </w:r>
      <w:r w:rsidRPr="007B6C79">
        <w:rPr>
          <w:rFonts w:cstheme="minorHAnsi"/>
          <w:bCs/>
          <w:szCs w:val="21"/>
        </w:rPr>
        <w:t>č. 2/2012 Veřejnosprávní kontrola hospodaření, č.</w:t>
      </w:r>
      <w:r w:rsidR="00252624">
        <w:rPr>
          <w:rFonts w:cstheme="minorHAnsi"/>
          <w:bCs/>
          <w:szCs w:val="21"/>
        </w:rPr>
        <w:t> </w:t>
      </w:r>
      <w:r w:rsidRPr="007B6C79">
        <w:rPr>
          <w:rFonts w:cstheme="minorHAnsi"/>
          <w:bCs/>
          <w:szCs w:val="21"/>
        </w:rPr>
        <w:t>5/2019 Zajištění místní a časové dostupnosti hrazených služeb, bonifikace, č. 17/2019 Ostatní zdaňovaná činnost – jiná činnost, č. 24/2019 Smluvní politika zdravotních pojišťoven a č. 7/2020 Vyřizování stížností (žádostí, námětů) na nedostupnost zdravotních služeb.</w:t>
      </w:r>
    </w:p>
    <w:bookmarkEnd w:id="74"/>
    <w:p w14:paraId="49D71F5E" w14:textId="5096B87A" w:rsidR="00462D96" w:rsidRPr="007B6C79" w:rsidRDefault="00462D96" w:rsidP="00462D96">
      <w:pPr>
        <w:spacing w:before="60" w:after="0" w:line="240" w:lineRule="auto"/>
        <w:jc w:val="both"/>
        <w:rPr>
          <w:rFonts w:cstheme="minorHAnsi"/>
          <w:szCs w:val="21"/>
        </w:rPr>
      </w:pPr>
      <w:r w:rsidRPr="007B6C79">
        <w:rPr>
          <w:rFonts w:cstheme="minorHAnsi"/>
          <w:szCs w:val="21"/>
        </w:rPr>
        <w:t>Kontrola zjistila, že RBP ke 36 kontrolním zjištěním z předcházejících kontrol přijala opatření k nápravě pouze v 15 případech, ve 1</w:t>
      </w:r>
      <w:r w:rsidR="00B749D6">
        <w:rPr>
          <w:rFonts w:cstheme="minorHAnsi"/>
          <w:szCs w:val="21"/>
        </w:rPr>
        <w:t>3</w:t>
      </w:r>
      <w:r w:rsidRPr="007B6C79">
        <w:rPr>
          <w:rFonts w:cstheme="minorHAnsi"/>
          <w:szCs w:val="21"/>
        </w:rPr>
        <w:t xml:space="preserve"> případech přijala pouze částečná opatření a v </w:t>
      </w:r>
      <w:r w:rsidR="00B749D6">
        <w:rPr>
          <w:rFonts w:cstheme="minorHAnsi"/>
          <w:szCs w:val="21"/>
        </w:rPr>
        <w:t>8</w:t>
      </w:r>
      <w:r w:rsidRPr="007B6C79">
        <w:rPr>
          <w:rFonts w:cstheme="minorHAnsi"/>
          <w:szCs w:val="21"/>
        </w:rPr>
        <w:t> případech opatření nepřijala.</w:t>
      </w:r>
    </w:p>
    <w:p w14:paraId="5CDB286C" w14:textId="77777777" w:rsidR="00462D96" w:rsidRPr="007B6C79" w:rsidRDefault="00462D96" w:rsidP="00462D96">
      <w:pPr>
        <w:spacing w:before="60" w:after="0" w:line="240" w:lineRule="auto"/>
        <w:jc w:val="both"/>
        <w:rPr>
          <w:rFonts w:cstheme="minorHAnsi"/>
          <w:szCs w:val="21"/>
        </w:rPr>
      </w:pPr>
      <w:r w:rsidRPr="007B6C79">
        <w:rPr>
          <w:rFonts w:cstheme="minorHAnsi"/>
          <w:szCs w:val="21"/>
        </w:rPr>
        <w:t>Kontrolní orgán proto upozornil, že RBP nevěnuje náležitou pozornost:</w:t>
      </w:r>
    </w:p>
    <w:p w14:paraId="5EAA97D1" w14:textId="77777777" w:rsidR="00462D96" w:rsidRPr="007B6C79" w:rsidRDefault="00462D96" w:rsidP="00462D96">
      <w:pPr>
        <w:spacing w:before="60" w:after="0" w:line="240" w:lineRule="auto"/>
        <w:ind w:left="568" w:hanging="284"/>
        <w:jc w:val="both"/>
        <w:rPr>
          <w:rFonts w:cstheme="minorHAnsi"/>
          <w:szCs w:val="21"/>
        </w:rPr>
      </w:pPr>
      <w:r w:rsidRPr="007B6C79">
        <w:rPr>
          <w:rFonts w:cstheme="minorHAnsi"/>
          <w:szCs w:val="21"/>
        </w:rPr>
        <w:t>•</w:t>
      </w:r>
      <w:r w:rsidRPr="007B6C79">
        <w:rPr>
          <w:rFonts w:cstheme="minorHAnsi"/>
          <w:szCs w:val="21"/>
        </w:rPr>
        <w:tab/>
        <w:t>kontrolním zjištěním v protokolech o výsledku kontroly,</w:t>
      </w:r>
    </w:p>
    <w:p w14:paraId="518F0BEF" w14:textId="77777777" w:rsidR="00462D96" w:rsidRPr="007B6C79" w:rsidRDefault="00462D96" w:rsidP="00462D96">
      <w:pPr>
        <w:spacing w:before="60" w:after="0" w:line="240" w:lineRule="auto"/>
        <w:ind w:left="568" w:hanging="284"/>
        <w:jc w:val="both"/>
        <w:rPr>
          <w:rFonts w:cstheme="minorHAnsi"/>
          <w:szCs w:val="21"/>
        </w:rPr>
      </w:pPr>
      <w:r w:rsidRPr="007B6C79">
        <w:rPr>
          <w:rFonts w:cstheme="minorHAnsi"/>
          <w:szCs w:val="21"/>
        </w:rPr>
        <w:t>•</w:t>
      </w:r>
      <w:r w:rsidRPr="007B6C79">
        <w:rPr>
          <w:rFonts w:cstheme="minorHAnsi"/>
          <w:szCs w:val="21"/>
        </w:rPr>
        <w:tab/>
        <w:t>úplnosti přijímaných opatření k odstranění nedostatků zjištěných při veřejnosprávní kontrole bez zbytečného odkladu podle ustanovení § 18 odst. 1 zákona č. 320/2001 Sb. a</w:t>
      </w:r>
    </w:p>
    <w:p w14:paraId="77C9B5F3" w14:textId="3485DE43" w:rsidR="00462D96" w:rsidRPr="007B6C79" w:rsidRDefault="00462D96" w:rsidP="00462D96">
      <w:pPr>
        <w:spacing w:before="60" w:after="0" w:line="240" w:lineRule="auto"/>
        <w:ind w:left="568" w:hanging="284"/>
        <w:jc w:val="both"/>
        <w:rPr>
          <w:rFonts w:cstheme="minorHAnsi"/>
          <w:szCs w:val="21"/>
        </w:rPr>
      </w:pPr>
      <w:r w:rsidRPr="007B6C79">
        <w:rPr>
          <w:rFonts w:cstheme="minorHAnsi"/>
          <w:szCs w:val="21"/>
        </w:rPr>
        <w:t>•</w:t>
      </w:r>
      <w:r w:rsidRPr="007B6C79">
        <w:rPr>
          <w:rFonts w:cstheme="minorHAnsi"/>
          <w:szCs w:val="21"/>
        </w:rPr>
        <w:tab/>
        <w:t>úplnosti písemné zprávy o odstranění nebo prevenci nedostatků zjištěných kontrolou podle ustanovení §</w:t>
      </w:r>
      <w:r w:rsidR="00252624">
        <w:rPr>
          <w:rFonts w:cstheme="minorHAnsi"/>
          <w:szCs w:val="21"/>
        </w:rPr>
        <w:t> </w:t>
      </w:r>
      <w:r w:rsidRPr="007B6C79">
        <w:rPr>
          <w:rFonts w:cstheme="minorHAnsi"/>
          <w:szCs w:val="21"/>
        </w:rPr>
        <w:t>10 odst. 2 zákona č. 255/2012 Sb.,</w:t>
      </w:r>
    </w:p>
    <w:p w14:paraId="10561B39" w14:textId="77777777" w:rsidR="00462D96" w:rsidRPr="007B6C79" w:rsidRDefault="00462D96" w:rsidP="00462D96">
      <w:pPr>
        <w:spacing w:before="60" w:after="0" w:line="240" w:lineRule="auto"/>
        <w:jc w:val="both"/>
        <w:rPr>
          <w:rFonts w:cstheme="minorHAnsi"/>
          <w:szCs w:val="21"/>
        </w:rPr>
      </w:pPr>
      <w:r w:rsidRPr="007B6C79">
        <w:rPr>
          <w:rFonts w:cstheme="minorHAnsi"/>
          <w:szCs w:val="21"/>
        </w:rPr>
        <w:t>a uložil RBP, aby ke všem kontrolním zjištěním přijala přiměřená opatření k nápravě.</w:t>
      </w:r>
    </w:p>
    <w:p w14:paraId="525F1B91" w14:textId="77777777" w:rsidR="00462D96" w:rsidRPr="007B6C79" w:rsidRDefault="00462D96" w:rsidP="00462D96">
      <w:pPr>
        <w:spacing w:before="60" w:after="0" w:line="240" w:lineRule="auto"/>
        <w:jc w:val="both"/>
        <w:rPr>
          <w:rFonts w:cstheme="minorHAnsi"/>
          <w:szCs w:val="21"/>
        </w:rPr>
      </w:pPr>
      <w:r w:rsidRPr="007B6C79">
        <w:rPr>
          <w:rFonts w:cstheme="minorHAnsi"/>
          <w:szCs w:val="21"/>
        </w:rPr>
        <w:t>V částečně splněných případech se jednalo zejména o:</w:t>
      </w:r>
    </w:p>
    <w:p w14:paraId="25B17CEB" w14:textId="0712FBD8" w:rsidR="00462D96" w:rsidRPr="009E7D32" w:rsidRDefault="00462D96" w:rsidP="007B6C79">
      <w:pPr>
        <w:pStyle w:val="Odstavecseseznamem"/>
        <w:numPr>
          <w:ilvl w:val="0"/>
          <w:numId w:val="8"/>
        </w:numPr>
        <w:spacing w:before="60" w:after="0"/>
        <w:ind w:left="567" w:hanging="283"/>
        <w:jc w:val="both"/>
        <w:rPr>
          <w:rFonts w:cstheme="minorHAnsi"/>
          <w:color w:val="000000" w:themeColor="text1"/>
          <w:szCs w:val="21"/>
        </w:rPr>
      </w:pPr>
      <w:r w:rsidRPr="009E7D32">
        <w:rPr>
          <w:rFonts w:cstheme="minorHAnsi"/>
          <w:color w:val="000000" w:themeColor="text1"/>
          <w:szCs w:val="21"/>
        </w:rPr>
        <w:t xml:space="preserve">RBP vnitřní předpis pro místní a časovou dostupnost zdravotních služeb přiměřeně upravila. Nebylo však </w:t>
      </w:r>
      <w:r w:rsidR="005A6578" w:rsidRPr="009E7D32">
        <w:rPr>
          <w:rFonts w:cstheme="minorHAnsi"/>
          <w:color w:val="000000" w:themeColor="text1"/>
          <w:szCs w:val="21"/>
        </w:rPr>
        <w:t xml:space="preserve">možné </w:t>
      </w:r>
      <w:r w:rsidRPr="009E7D32">
        <w:rPr>
          <w:rFonts w:cstheme="minorHAnsi"/>
          <w:color w:val="000000" w:themeColor="text1"/>
          <w:szCs w:val="21"/>
        </w:rPr>
        <w:t>dovodit konkrétní a měřitelná kritéria, kterými RBP (ne)dostatečnost sítě smluvních PZS měří.</w:t>
      </w:r>
    </w:p>
    <w:p w14:paraId="251204C9" w14:textId="77777777" w:rsidR="00462D96" w:rsidRPr="009E7D32" w:rsidRDefault="00462D96" w:rsidP="007B6C79">
      <w:pPr>
        <w:pStyle w:val="Odstavecseseznamem"/>
        <w:numPr>
          <w:ilvl w:val="0"/>
          <w:numId w:val="8"/>
        </w:numPr>
        <w:spacing w:before="60" w:after="0"/>
        <w:ind w:left="567" w:hanging="283"/>
        <w:jc w:val="both"/>
        <w:rPr>
          <w:rFonts w:cstheme="minorHAnsi"/>
          <w:color w:val="000000" w:themeColor="text1"/>
          <w:szCs w:val="21"/>
        </w:rPr>
      </w:pPr>
      <w:r w:rsidRPr="009E7D32">
        <w:rPr>
          <w:rFonts w:cstheme="minorHAnsi"/>
          <w:color w:val="000000" w:themeColor="text1"/>
          <w:szCs w:val="21"/>
        </w:rPr>
        <w:t>RBP neměla nastaveny samostatné systémy, procesy, role a povinnosti v oblasti stížností na zabezpečení místní a časové dostupnosti zdravotních služeb. Předložené předpisy se obsahově neliší od předpisu předloženého při kontrole č. 7/2020.</w:t>
      </w:r>
    </w:p>
    <w:p w14:paraId="3F4E5C73" w14:textId="35A5B1A9" w:rsidR="00462D96" w:rsidRPr="009E7D32" w:rsidRDefault="00462D96" w:rsidP="007B6C79">
      <w:pPr>
        <w:pStyle w:val="Odstavecseseznamem"/>
        <w:numPr>
          <w:ilvl w:val="0"/>
          <w:numId w:val="8"/>
        </w:numPr>
        <w:spacing w:before="60" w:after="0"/>
        <w:ind w:left="567" w:hanging="283"/>
        <w:jc w:val="both"/>
        <w:rPr>
          <w:rFonts w:cstheme="minorHAnsi"/>
          <w:color w:val="000000" w:themeColor="text1"/>
          <w:szCs w:val="21"/>
        </w:rPr>
      </w:pPr>
      <w:r w:rsidRPr="009E7D32">
        <w:rPr>
          <w:rFonts w:cstheme="minorHAnsi"/>
          <w:color w:val="000000" w:themeColor="text1"/>
          <w:szCs w:val="21"/>
        </w:rPr>
        <w:t>Z důvodu neexistence směrnice, popř. metodického pokynu, který by jasně stanovoval kritéria zařazení praktických lékařů do bonifikačních programů, neexist</w:t>
      </w:r>
      <w:r w:rsidR="005A6578" w:rsidRPr="009E7D32">
        <w:rPr>
          <w:rFonts w:cstheme="minorHAnsi"/>
          <w:color w:val="000000" w:themeColor="text1"/>
          <w:szCs w:val="21"/>
        </w:rPr>
        <w:t>ovala</w:t>
      </w:r>
      <w:r w:rsidRPr="009E7D32">
        <w:rPr>
          <w:rFonts w:cstheme="minorHAnsi"/>
          <w:color w:val="000000" w:themeColor="text1"/>
          <w:szCs w:val="21"/>
        </w:rPr>
        <w:t xml:space="preserve"> ani kritéria hodnocení, ani doporučení, jak hodnocení provádět, se RBP dopoušt</w:t>
      </w:r>
      <w:r w:rsidR="005A6578" w:rsidRPr="009E7D32">
        <w:rPr>
          <w:rFonts w:cstheme="minorHAnsi"/>
          <w:color w:val="000000" w:themeColor="text1"/>
          <w:szCs w:val="21"/>
        </w:rPr>
        <w:t>ěla</w:t>
      </w:r>
      <w:r w:rsidRPr="009E7D32">
        <w:rPr>
          <w:rFonts w:cstheme="minorHAnsi"/>
          <w:color w:val="000000" w:themeColor="text1"/>
          <w:szCs w:val="21"/>
        </w:rPr>
        <w:t xml:space="preserve"> porušení zákona č. 320/2001 Sb.</w:t>
      </w:r>
      <w:r w:rsidR="0008006B" w:rsidRPr="009E7D32">
        <w:rPr>
          <w:rFonts w:cstheme="minorHAnsi"/>
          <w:color w:val="000000" w:themeColor="text1"/>
          <w:szCs w:val="21"/>
        </w:rPr>
        <w:t xml:space="preserve">  RBP příslušný předpis vydala až v lednu 2024.</w:t>
      </w:r>
    </w:p>
    <w:p w14:paraId="3C3D81EB" w14:textId="01A54070" w:rsidR="00462D96" w:rsidRPr="009E7D32" w:rsidRDefault="00462D96" w:rsidP="007B6C79">
      <w:pPr>
        <w:pStyle w:val="Odstavecseseznamem"/>
        <w:numPr>
          <w:ilvl w:val="0"/>
          <w:numId w:val="8"/>
        </w:numPr>
        <w:spacing w:before="60" w:after="0"/>
        <w:ind w:left="567" w:hanging="283"/>
        <w:jc w:val="both"/>
        <w:rPr>
          <w:rFonts w:cstheme="minorHAnsi"/>
          <w:color w:val="000000" w:themeColor="text1"/>
          <w:szCs w:val="21"/>
        </w:rPr>
      </w:pPr>
      <w:r w:rsidRPr="009E7D32">
        <w:rPr>
          <w:rFonts w:cstheme="minorHAnsi"/>
          <w:color w:val="000000" w:themeColor="text1"/>
          <w:szCs w:val="21"/>
        </w:rPr>
        <w:t>Pilotní projekty FD a EMU byly ukončeny v roce 2021. Nicméně, v roce 2023 se RBP na ně stálé odkazuje a</w:t>
      </w:r>
      <w:r w:rsidR="00252624" w:rsidRPr="009E7D32">
        <w:rPr>
          <w:rFonts w:cstheme="minorHAnsi"/>
          <w:color w:val="000000" w:themeColor="text1"/>
          <w:szCs w:val="21"/>
        </w:rPr>
        <w:t> </w:t>
      </w:r>
      <w:r w:rsidRPr="009E7D32">
        <w:rPr>
          <w:rFonts w:cstheme="minorHAnsi"/>
          <w:color w:val="000000" w:themeColor="text1"/>
          <w:szCs w:val="21"/>
        </w:rPr>
        <w:t>dokládá podklady z projektů, které byly ukončeny. Poslední aktualizace IS dle analýz FD a EMU proběhly v roce 2021 (viz kontrolní zjištění č. 9). Ambiciózní projekt měl pouze dočasný dopad na vývoj IS a na revizní systém celkem.</w:t>
      </w:r>
    </w:p>
    <w:p w14:paraId="1EADDB8E" w14:textId="52AAEFC7" w:rsidR="00462D96" w:rsidRPr="009E7D32" w:rsidRDefault="00462D96" w:rsidP="007B6C79">
      <w:pPr>
        <w:pStyle w:val="Odstavecseseznamem"/>
        <w:numPr>
          <w:ilvl w:val="0"/>
          <w:numId w:val="8"/>
        </w:numPr>
        <w:spacing w:before="60" w:after="0"/>
        <w:ind w:left="567" w:hanging="283"/>
        <w:jc w:val="both"/>
        <w:rPr>
          <w:rFonts w:cstheme="minorHAnsi"/>
          <w:color w:val="000000" w:themeColor="text1"/>
          <w:szCs w:val="21"/>
        </w:rPr>
      </w:pPr>
      <w:r w:rsidRPr="009E7D32">
        <w:rPr>
          <w:rFonts w:cstheme="minorHAnsi"/>
          <w:color w:val="000000" w:themeColor="text1"/>
          <w:szCs w:val="21"/>
        </w:rPr>
        <w:t xml:space="preserve">nepostupování podle § 3 až § 6 zákona č. 320/2001 Sb. (tzn. RBP nereagovala na upozornění IS a nezabývala se dále </w:t>
      </w:r>
      <w:r w:rsidR="007058F6">
        <w:rPr>
          <w:rFonts w:cstheme="minorHAnsi"/>
          <w:color w:val="000000" w:themeColor="text1"/>
          <w:szCs w:val="21"/>
        </w:rPr>
        <w:t xml:space="preserve">určitým </w:t>
      </w:r>
      <w:r w:rsidRPr="009E7D32">
        <w:rPr>
          <w:rFonts w:cstheme="minorHAnsi"/>
          <w:color w:val="000000" w:themeColor="text1"/>
          <w:szCs w:val="21"/>
        </w:rPr>
        <w:t>PZS), lze označit za opakující stav, kdy RBP nebyla schopna včas zjistit rizika podle § 25 zákona č. 320/2001 Sb.</w:t>
      </w:r>
    </w:p>
    <w:p w14:paraId="0ECC9F7F" w14:textId="757556F6" w:rsidR="00462D96" w:rsidRPr="007B6C79" w:rsidRDefault="00462D96" w:rsidP="00462D96">
      <w:pPr>
        <w:spacing w:before="120" w:after="0" w:line="276" w:lineRule="auto"/>
        <w:jc w:val="both"/>
        <w:rPr>
          <w:rFonts w:cstheme="minorHAnsi"/>
          <w:bCs/>
          <w:szCs w:val="21"/>
        </w:rPr>
      </w:pPr>
      <w:r w:rsidRPr="0008006B">
        <w:rPr>
          <w:rFonts w:cstheme="minorHAnsi"/>
          <w:bCs/>
          <w:szCs w:val="21"/>
          <w:u w:val="single"/>
        </w:rPr>
        <w:t>Nesplněné opatření k nápravě</w:t>
      </w:r>
      <w:r w:rsidRPr="007B6C79">
        <w:rPr>
          <w:rFonts w:cstheme="minorHAnsi"/>
          <w:bCs/>
          <w:szCs w:val="21"/>
        </w:rPr>
        <w:t xml:space="preserve"> spočívalo v tom, že RBP neiniciovala žádné změny pravidel programu Malé praxe. </w:t>
      </w:r>
      <w:r w:rsidR="0008006B">
        <w:rPr>
          <w:rFonts w:cstheme="minorHAnsi"/>
          <w:bCs/>
          <w:szCs w:val="21"/>
        </w:rPr>
        <w:t xml:space="preserve">Přestože </w:t>
      </w:r>
      <w:r w:rsidR="0008006B" w:rsidRPr="007B6C79">
        <w:rPr>
          <w:rFonts w:cstheme="minorHAnsi"/>
          <w:bCs/>
          <w:szCs w:val="21"/>
        </w:rPr>
        <w:t xml:space="preserve">podmínky bonifikačních programů jsou stanoveny úhradovou vyhláškou, i u </w:t>
      </w:r>
      <w:r w:rsidR="0008006B">
        <w:rPr>
          <w:rFonts w:cstheme="minorHAnsi"/>
          <w:bCs/>
          <w:szCs w:val="21"/>
        </w:rPr>
        <w:t xml:space="preserve">nich </w:t>
      </w:r>
      <w:r w:rsidR="0008006B" w:rsidRPr="007B6C79">
        <w:rPr>
          <w:rFonts w:cstheme="minorHAnsi"/>
          <w:bCs/>
          <w:szCs w:val="21"/>
        </w:rPr>
        <w:t>by mělo docházet k</w:t>
      </w:r>
      <w:r w:rsidR="0008006B">
        <w:rPr>
          <w:rFonts w:cstheme="minorHAnsi"/>
          <w:bCs/>
          <w:szCs w:val="21"/>
        </w:rPr>
        <w:t xml:space="preserve"> jejich </w:t>
      </w:r>
      <w:r w:rsidR="0008006B" w:rsidRPr="007B6C79">
        <w:rPr>
          <w:rFonts w:cstheme="minorHAnsi"/>
          <w:bCs/>
          <w:szCs w:val="21"/>
        </w:rPr>
        <w:t>hodnocení,</w:t>
      </w:r>
      <w:r w:rsidR="0008006B">
        <w:rPr>
          <w:rFonts w:cstheme="minorHAnsi"/>
          <w:bCs/>
          <w:szCs w:val="21"/>
        </w:rPr>
        <w:t xml:space="preserve"> zda </w:t>
      </w:r>
      <w:r w:rsidR="0008006B" w:rsidRPr="007B6C79">
        <w:rPr>
          <w:rFonts w:cstheme="minorHAnsi"/>
          <w:bCs/>
          <w:szCs w:val="21"/>
        </w:rPr>
        <w:t>splňují účel, pro který byly zavedeny, a dále také kontrolovat jejich efektivitu.</w:t>
      </w:r>
      <w:r w:rsidR="0008006B">
        <w:rPr>
          <w:rFonts w:cstheme="minorHAnsi"/>
          <w:bCs/>
          <w:szCs w:val="21"/>
        </w:rPr>
        <w:t xml:space="preserve"> </w:t>
      </w:r>
    </w:p>
    <w:p w14:paraId="5B0F747F" w14:textId="77777777" w:rsidR="00462D96" w:rsidRPr="007B6C79" w:rsidRDefault="00462D96" w:rsidP="00462D96">
      <w:pPr>
        <w:spacing w:before="60" w:after="0" w:line="240" w:lineRule="auto"/>
        <w:jc w:val="both"/>
        <w:rPr>
          <w:rFonts w:cstheme="minorHAnsi"/>
          <w:szCs w:val="21"/>
        </w:rPr>
      </w:pPr>
      <w:r w:rsidRPr="007B6C79">
        <w:rPr>
          <w:rFonts w:cstheme="minorHAnsi"/>
          <w:szCs w:val="21"/>
        </w:rPr>
        <w:t>Účinnost těchto opatření k nápravě bude muset být opakovaně ověřena v rámci kontroly jejich realizace po uplynutí přiměřené lhůty pro jejich aplikaci v praxi.</w:t>
      </w:r>
    </w:p>
    <w:bookmarkEnd w:id="75"/>
    <w:p w14:paraId="7AF5102A" w14:textId="77777777" w:rsidR="00462D96" w:rsidRPr="007B6C79" w:rsidRDefault="00462D96" w:rsidP="00462D96">
      <w:pPr>
        <w:spacing w:before="60" w:after="0" w:line="240" w:lineRule="auto"/>
        <w:jc w:val="both"/>
        <w:rPr>
          <w:rFonts w:cstheme="minorHAnsi"/>
          <w:szCs w:val="21"/>
        </w:rPr>
      </w:pPr>
    </w:p>
    <w:p w14:paraId="267A07E8" w14:textId="4C29AC96" w:rsidR="00462D96" w:rsidRPr="007B6C79" w:rsidRDefault="007B6C79" w:rsidP="007B6C79">
      <w:pPr>
        <w:spacing w:before="120" w:after="0" w:line="276" w:lineRule="auto"/>
        <w:jc w:val="both"/>
        <w:rPr>
          <w:rFonts w:cstheme="minorHAnsi"/>
          <w:b/>
          <w:sz w:val="22"/>
        </w:rPr>
      </w:pPr>
      <w:r w:rsidRPr="007B6C79">
        <w:rPr>
          <w:rFonts w:cstheme="minorHAnsi"/>
          <w:b/>
          <w:sz w:val="22"/>
        </w:rPr>
        <w:t>K</w:t>
      </w:r>
      <w:r w:rsidR="00462D96" w:rsidRPr="007B6C79">
        <w:rPr>
          <w:rFonts w:cstheme="minorHAnsi"/>
          <w:b/>
          <w:sz w:val="22"/>
        </w:rPr>
        <w:t>ontrola realizace a účinnosti opatření přijatých k odstranění nebo prevenci nedostatků zjištěných při předcházejících kontrolách ve Vojenské zdravotní pojišťovně České republiky</w:t>
      </w:r>
      <w:r w:rsidR="00462D96" w:rsidRPr="007B6C79">
        <w:rPr>
          <w:rFonts w:cstheme="minorHAnsi"/>
          <w:bCs/>
          <w:sz w:val="22"/>
        </w:rPr>
        <w:t xml:space="preserve"> </w:t>
      </w:r>
    </w:p>
    <w:p w14:paraId="328E1172" w14:textId="600B0A9C" w:rsidR="00462D96" w:rsidRPr="007B6C79" w:rsidRDefault="00462D96" w:rsidP="00462D96">
      <w:pPr>
        <w:spacing w:before="120" w:after="0" w:line="276" w:lineRule="auto"/>
        <w:jc w:val="both"/>
        <w:rPr>
          <w:rFonts w:cstheme="minorHAnsi"/>
          <w:bCs/>
          <w:szCs w:val="21"/>
        </w:rPr>
      </w:pPr>
      <w:r w:rsidRPr="007B6C79">
        <w:rPr>
          <w:rFonts w:eastAsiaTheme="minorEastAsia" w:cstheme="minorHAnsi"/>
          <w:szCs w:val="21"/>
        </w:rPr>
        <w:t xml:space="preserve">Předmětem kontroly bylo ověření realizace a účinnosti opatření k nápravě přijatých VoZP </w:t>
      </w:r>
      <w:r w:rsidR="007B6C79" w:rsidRPr="007B6C79">
        <w:rPr>
          <w:rFonts w:eastAsiaTheme="minorEastAsia" w:cstheme="minorHAnsi"/>
          <w:szCs w:val="21"/>
        </w:rPr>
        <w:t xml:space="preserve">ČR </w:t>
      </w:r>
      <w:r w:rsidRPr="007B6C79">
        <w:rPr>
          <w:rFonts w:eastAsiaTheme="minorEastAsia" w:cstheme="minorHAnsi"/>
          <w:szCs w:val="21"/>
        </w:rPr>
        <w:t xml:space="preserve">k odstranění nebo prevenci nedostatků zjištěných při předcházejících kontrolách </w:t>
      </w:r>
      <w:r w:rsidRPr="007B6C79">
        <w:rPr>
          <w:rFonts w:cstheme="minorHAnsi"/>
          <w:bCs/>
          <w:szCs w:val="21"/>
        </w:rPr>
        <w:t>č. 4/2016 Veřejnosprávní kontrola hospodaření, č.</w:t>
      </w:r>
      <w:r w:rsidR="00252624">
        <w:rPr>
          <w:rFonts w:cstheme="minorHAnsi"/>
          <w:bCs/>
          <w:szCs w:val="21"/>
        </w:rPr>
        <w:t> </w:t>
      </w:r>
      <w:r w:rsidRPr="007B6C79">
        <w:rPr>
          <w:rFonts w:cstheme="minorHAnsi"/>
          <w:bCs/>
          <w:szCs w:val="21"/>
        </w:rPr>
        <w:t>7/2019 Zajištění místní a časové dostupnosti hrazených služeb, bonifikace, č. 19/2019 Smluvní politika zdravotních pojišťoven a č. 2/2020 Vyřizování stížností (žádostí, námětů) na nedostupnost zdravotních služeb‘.</w:t>
      </w:r>
    </w:p>
    <w:p w14:paraId="0F4004CE" w14:textId="340766A8" w:rsidR="00462D96" w:rsidRPr="007B6C79" w:rsidRDefault="00462D96" w:rsidP="00462D96">
      <w:pPr>
        <w:spacing w:before="60" w:after="0" w:line="240" w:lineRule="auto"/>
        <w:jc w:val="both"/>
        <w:rPr>
          <w:rFonts w:cstheme="minorHAnsi"/>
          <w:szCs w:val="21"/>
        </w:rPr>
      </w:pPr>
      <w:r w:rsidRPr="007B6C79">
        <w:rPr>
          <w:rFonts w:cstheme="minorHAnsi"/>
          <w:szCs w:val="21"/>
        </w:rPr>
        <w:t xml:space="preserve">Kontrola zjistila, že VoZP </w:t>
      </w:r>
      <w:r w:rsidR="007B6C79" w:rsidRPr="007B6C79">
        <w:rPr>
          <w:rFonts w:cstheme="minorHAnsi"/>
          <w:szCs w:val="21"/>
        </w:rPr>
        <w:t xml:space="preserve">ČR </w:t>
      </w:r>
      <w:r w:rsidRPr="007B6C79">
        <w:rPr>
          <w:rFonts w:cstheme="minorHAnsi"/>
          <w:szCs w:val="21"/>
        </w:rPr>
        <w:t>ke 42 kontrolním zjištěním z předcházejících kontrol přijala opatření k nápravě ve 32 případech, v 9 případech přijala pouze částečná opatření a v 1 případě</w:t>
      </w:r>
      <w:r w:rsidR="00086C22">
        <w:rPr>
          <w:rFonts w:cstheme="minorHAnsi"/>
          <w:szCs w:val="21"/>
        </w:rPr>
        <w:t xml:space="preserve"> nepřijala žádné</w:t>
      </w:r>
      <w:r w:rsidRPr="007B6C79">
        <w:rPr>
          <w:rFonts w:cstheme="minorHAnsi"/>
          <w:szCs w:val="21"/>
        </w:rPr>
        <w:t>.</w:t>
      </w:r>
    </w:p>
    <w:p w14:paraId="260503C4" w14:textId="77777777" w:rsidR="00462D96" w:rsidRPr="007B6C79" w:rsidRDefault="00462D96" w:rsidP="00462D96">
      <w:pPr>
        <w:spacing w:before="60" w:after="0" w:line="240" w:lineRule="auto"/>
        <w:jc w:val="both"/>
        <w:rPr>
          <w:rFonts w:cstheme="minorHAnsi"/>
          <w:szCs w:val="21"/>
        </w:rPr>
      </w:pPr>
      <w:r w:rsidRPr="007B6C79">
        <w:rPr>
          <w:rFonts w:cstheme="minorHAnsi"/>
          <w:szCs w:val="21"/>
        </w:rPr>
        <w:t>V částečně splněných případech se jednalo zejména o:</w:t>
      </w:r>
    </w:p>
    <w:p w14:paraId="296E4122" w14:textId="77777777" w:rsidR="00462D96" w:rsidRPr="007B6C79" w:rsidRDefault="00462D96" w:rsidP="00462D96">
      <w:pPr>
        <w:pStyle w:val="Odstavecseseznamem"/>
        <w:numPr>
          <w:ilvl w:val="0"/>
          <w:numId w:val="8"/>
        </w:numPr>
        <w:spacing w:before="60" w:after="0"/>
        <w:jc w:val="both"/>
        <w:rPr>
          <w:rFonts w:cstheme="minorHAnsi"/>
          <w:color w:val="auto"/>
          <w:szCs w:val="21"/>
        </w:rPr>
      </w:pPr>
      <w:r w:rsidRPr="007B6C79">
        <w:rPr>
          <w:rFonts w:cstheme="minorHAnsi"/>
          <w:color w:val="auto"/>
          <w:szCs w:val="21"/>
        </w:rPr>
        <w:t>slučování rolí správce rozpočtu a hlavního účetního v rozporu se zákonem č. 320/2001 Sb.,</w:t>
      </w:r>
    </w:p>
    <w:p w14:paraId="05C58168" w14:textId="069468FC" w:rsidR="00462D96" w:rsidRPr="007B6C79" w:rsidRDefault="00462D96" w:rsidP="00462D96">
      <w:pPr>
        <w:pStyle w:val="Odstavecseseznamem"/>
        <w:numPr>
          <w:ilvl w:val="0"/>
          <w:numId w:val="8"/>
        </w:numPr>
        <w:spacing w:before="60" w:after="0"/>
        <w:jc w:val="both"/>
        <w:rPr>
          <w:rFonts w:cstheme="minorHAnsi"/>
          <w:color w:val="auto"/>
          <w:szCs w:val="21"/>
        </w:rPr>
      </w:pPr>
      <w:r w:rsidRPr="007B6C79">
        <w:rPr>
          <w:rFonts w:cstheme="minorHAnsi"/>
          <w:color w:val="auto"/>
          <w:szCs w:val="21"/>
        </w:rPr>
        <w:t xml:space="preserve">neprovádění přiměřené následné řídicí kontroly ve smyslu § 27 zákona č. 320/2001 Sb. (v návaznosti na ustanovení § 11 odst. 3 a 4 a § 6 odst. 2 písm. b) až d)) u nově uzavřených nebo změněných smluvních vztahů; VoZP </w:t>
      </w:r>
      <w:r w:rsidR="007B6C79" w:rsidRPr="007B6C79">
        <w:rPr>
          <w:rFonts w:cstheme="minorHAnsi"/>
          <w:szCs w:val="21"/>
        </w:rPr>
        <w:t>ČR</w:t>
      </w:r>
      <w:r w:rsidR="007B6C79" w:rsidRPr="007B6C79">
        <w:rPr>
          <w:rFonts w:cstheme="minorHAnsi"/>
          <w:color w:val="auto"/>
          <w:szCs w:val="21"/>
        </w:rPr>
        <w:t xml:space="preserve"> </w:t>
      </w:r>
      <w:r w:rsidRPr="007B6C79">
        <w:rPr>
          <w:rFonts w:cstheme="minorHAnsi"/>
          <w:color w:val="auto"/>
          <w:szCs w:val="21"/>
        </w:rPr>
        <w:t>po vyúčtování operací neprověřovala, nezkoumala a nevyhodnocovala u vybraného vzorku těchto operací zejména, zda jsou v souladu s rozhodnutími přijatými v předběžné řídicí kontrole před vznikem závazku a splňují kritéria hospodárnosti, účelnosti a efektivnosti,</w:t>
      </w:r>
    </w:p>
    <w:p w14:paraId="05023446" w14:textId="60E071FF" w:rsidR="00462D96" w:rsidRPr="007B6C79" w:rsidRDefault="00462D96" w:rsidP="00462D96">
      <w:pPr>
        <w:pStyle w:val="Odstavecseseznamem"/>
        <w:numPr>
          <w:ilvl w:val="0"/>
          <w:numId w:val="8"/>
        </w:numPr>
        <w:spacing w:before="60" w:after="0"/>
        <w:jc w:val="both"/>
        <w:rPr>
          <w:rFonts w:cstheme="minorHAnsi"/>
          <w:color w:val="auto"/>
          <w:szCs w:val="21"/>
        </w:rPr>
      </w:pPr>
      <w:r w:rsidRPr="007B6C79">
        <w:rPr>
          <w:rFonts w:cstheme="minorHAnsi"/>
          <w:color w:val="auto"/>
          <w:szCs w:val="21"/>
        </w:rPr>
        <w:t>nedefinování pravomocí a odpovědností příkazce operace a správce rozpočtu při posuzování nových a</w:t>
      </w:r>
      <w:r w:rsidR="00252624">
        <w:rPr>
          <w:rFonts w:cstheme="minorHAnsi"/>
          <w:color w:val="auto"/>
          <w:szCs w:val="21"/>
        </w:rPr>
        <w:t> </w:t>
      </w:r>
      <w:r w:rsidRPr="007B6C79">
        <w:rPr>
          <w:rFonts w:cstheme="minorHAnsi"/>
          <w:color w:val="auto"/>
          <w:szCs w:val="21"/>
        </w:rPr>
        <w:t>změněných smluvních vztahů v předběžné řídicí kontrole před vznikem závazku,</w:t>
      </w:r>
    </w:p>
    <w:p w14:paraId="409C0B77" w14:textId="7CD588FC" w:rsidR="00462D96" w:rsidRPr="007B6C79" w:rsidRDefault="00462D96" w:rsidP="00462D96">
      <w:pPr>
        <w:pStyle w:val="Odstavecseseznamem"/>
        <w:numPr>
          <w:ilvl w:val="0"/>
          <w:numId w:val="8"/>
        </w:numPr>
        <w:spacing w:before="60" w:after="0"/>
        <w:jc w:val="both"/>
        <w:rPr>
          <w:rFonts w:cstheme="minorHAnsi"/>
          <w:color w:val="auto"/>
          <w:szCs w:val="21"/>
        </w:rPr>
      </w:pPr>
      <w:r w:rsidRPr="007B6C79">
        <w:rPr>
          <w:rFonts w:cstheme="minorHAnsi"/>
          <w:color w:val="auto"/>
          <w:szCs w:val="21"/>
        </w:rPr>
        <w:t>netransparentnost rozhodování VoZP</w:t>
      </w:r>
      <w:r w:rsidRPr="009346AE">
        <w:rPr>
          <w:rFonts w:cstheme="minorHAnsi"/>
          <w:color w:val="auto"/>
          <w:szCs w:val="21"/>
        </w:rPr>
        <w:t xml:space="preserve"> </w:t>
      </w:r>
      <w:r w:rsidR="007B6C79" w:rsidRPr="00AF5F72">
        <w:rPr>
          <w:rFonts w:cstheme="minorHAnsi"/>
          <w:color w:val="auto"/>
          <w:szCs w:val="21"/>
        </w:rPr>
        <w:t>ČR</w:t>
      </w:r>
      <w:r w:rsidR="007B6C79" w:rsidRPr="007B6C79">
        <w:rPr>
          <w:rFonts w:cstheme="minorHAnsi"/>
          <w:szCs w:val="21"/>
        </w:rPr>
        <w:t>,</w:t>
      </w:r>
      <w:r w:rsidR="007B6C79" w:rsidRPr="007B6C79">
        <w:rPr>
          <w:rFonts w:cstheme="minorHAnsi"/>
          <w:color w:val="auto"/>
          <w:szCs w:val="21"/>
        </w:rPr>
        <w:t xml:space="preserve"> </w:t>
      </w:r>
      <w:r w:rsidRPr="007B6C79">
        <w:rPr>
          <w:rFonts w:cstheme="minorHAnsi"/>
          <w:color w:val="auto"/>
          <w:szCs w:val="21"/>
        </w:rPr>
        <w:t>zda má či nemá s PZS uzavřít nebo změnit smluvní vztah, protože postrádalo vyhodnocení měřitelných kritérií např. o tom, jak byla zabezpečena dostupnost ZS;</w:t>
      </w:r>
    </w:p>
    <w:p w14:paraId="3D70AA40" w14:textId="77777777" w:rsidR="00462D96" w:rsidRPr="007B6C79" w:rsidRDefault="00462D96" w:rsidP="00462D96">
      <w:pPr>
        <w:pStyle w:val="Odstavecseseznamem"/>
        <w:numPr>
          <w:ilvl w:val="0"/>
          <w:numId w:val="8"/>
        </w:numPr>
        <w:spacing w:before="60" w:after="0"/>
        <w:jc w:val="both"/>
        <w:rPr>
          <w:rFonts w:cstheme="minorHAnsi"/>
          <w:color w:val="auto"/>
          <w:szCs w:val="21"/>
        </w:rPr>
      </w:pPr>
      <w:r w:rsidRPr="007B6C79">
        <w:rPr>
          <w:rFonts w:cstheme="minorHAnsi"/>
          <w:color w:val="auto"/>
          <w:szCs w:val="21"/>
        </w:rPr>
        <w:t>nedostatečné nastavení revizních systémů úhrad zdravotních služeb.</w:t>
      </w:r>
    </w:p>
    <w:p w14:paraId="264020CF" w14:textId="25F08921" w:rsidR="00462D96" w:rsidRPr="007B6C79" w:rsidRDefault="00462D96" w:rsidP="00462D96">
      <w:pPr>
        <w:spacing w:before="120" w:after="0" w:line="276" w:lineRule="auto"/>
        <w:jc w:val="both"/>
        <w:rPr>
          <w:rFonts w:cstheme="minorHAnsi"/>
          <w:bCs/>
          <w:szCs w:val="21"/>
        </w:rPr>
      </w:pPr>
      <w:r w:rsidRPr="007B6C79">
        <w:rPr>
          <w:rFonts w:cstheme="minorHAnsi"/>
          <w:bCs/>
          <w:szCs w:val="21"/>
        </w:rPr>
        <w:t xml:space="preserve">Nesplněné opatření k nápravě spočívalo v tom, že VoZP </w:t>
      </w:r>
      <w:r w:rsidR="007B6C79" w:rsidRPr="007B6C79">
        <w:rPr>
          <w:rFonts w:cstheme="minorHAnsi"/>
          <w:szCs w:val="21"/>
        </w:rPr>
        <w:t>ČR</w:t>
      </w:r>
      <w:r w:rsidR="007B6C79" w:rsidRPr="007B6C79">
        <w:rPr>
          <w:rFonts w:cstheme="minorHAnsi"/>
          <w:bCs/>
          <w:szCs w:val="21"/>
        </w:rPr>
        <w:t xml:space="preserve"> </w:t>
      </w:r>
      <w:r w:rsidRPr="007B6C79">
        <w:rPr>
          <w:rFonts w:cstheme="minorHAnsi"/>
          <w:bCs/>
          <w:szCs w:val="21"/>
        </w:rPr>
        <w:t>sice předložila KS vyhodnocení efektivnosti bonifikačních programů, ale s ohledem na fádní formulace v hodnocení, a dokonce datum vzniku dokumentu až v</w:t>
      </w:r>
      <w:r w:rsidR="00252624">
        <w:rPr>
          <w:rFonts w:cstheme="minorHAnsi"/>
          <w:bCs/>
          <w:szCs w:val="21"/>
        </w:rPr>
        <w:t> </w:t>
      </w:r>
      <w:r w:rsidRPr="007B6C79">
        <w:rPr>
          <w:rFonts w:cstheme="minorHAnsi"/>
          <w:bCs/>
          <w:szCs w:val="21"/>
        </w:rPr>
        <w:t>době provádění této kontroly, bylo zřejmé, že se VoZP</w:t>
      </w:r>
      <w:r w:rsidR="007B6C79" w:rsidRPr="007B6C79">
        <w:rPr>
          <w:rFonts w:cstheme="minorHAnsi"/>
          <w:szCs w:val="21"/>
        </w:rPr>
        <w:t xml:space="preserve"> ČR</w:t>
      </w:r>
      <w:r w:rsidRPr="007B6C79">
        <w:rPr>
          <w:rFonts w:cstheme="minorHAnsi"/>
          <w:bCs/>
          <w:szCs w:val="21"/>
        </w:rPr>
        <w:t xml:space="preserve"> nezabývala svými opatřeními a neřešila je. KS konstatuje, že VoZP </w:t>
      </w:r>
      <w:r w:rsidR="007B6C79" w:rsidRPr="007B6C79">
        <w:rPr>
          <w:rFonts w:cstheme="minorHAnsi"/>
          <w:szCs w:val="21"/>
        </w:rPr>
        <w:t>ČR</w:t>
      </w:r>
      <w:r w:rsidR="007B6C79" w:rsidRPr="007B6C79">
        <w:rPr>
          <w:rFonts w:cstheme="minorHAnsi"/>
          <w:bCs/>
          <w:szCs w:val="21"/>
        </w:rPr>
        <w:t xml:space="preserve"> </w:t>
      </w:r>
      <w:r w:rsidRPr="007B6C79">
        <w:rPr>
          <w:rFonts w:cstheme="minorHAnsi"/>
          <w:bCs/>
          <w:szCs w:val="21"/>
        </w:rPr>
        <w:t>v tomto bodě nejen nesplnila nápravné opatření, ale dochází dlouhodobě k porušení zákona č. 320/2001 Sb., o finanční kontrole, konkrétně §4, § 25 a § 27.</w:t>
      </w:r>
    </w:p>
    <w:p w14:paraId="05376A96" w14:textId="77777777" w:rsidR="00462D96" w:rsidRPr="007B6C79" w:rsidRDefault="00462D96" w:rsidP="00462D96">
      <w:pPr>
        <w:spacing w:before="60" w:after="0" w:line="240" w:lineRule="auto"/>
        <w:jc w:val="both"/>
        <w:rPr>
          <w:rFonts w:cstheme="minorHAnsi"/>
          <w:szCs w:val="21"/>
        </w:rPr>
      </w:pPr>
      <w:r w:rsidRPr="007B6C79">
        <w:rPr>
          <w:rFonts w:cstheme="minorHAnsi"/>
          <w:szCs w:val="21"/>
        </w:rPr>
        <w:t>Účinnost těchto opatření k nápravě bude muset být opakovaně ověřena v rámci kontroly jejich realizace po uplynutí přiměřené lhůty pro jejich aplikaci v praxi.</w:t>
      </w:r>
    </w:p>
    <w:p w14:paraId="3A00B79C" w14:textId="77777777" w:rsidR="00462D96" w:rsidRPr="007B6C79" w:rsidRDefault="00462D96" w:rsidP="00462D96">
      <w:pPr>
        <w:spacing w:before="120" w:after="0" w:line="276" w:lineRule="auto"/>
        <w:jc w:val="both"/>
        <w:rPr>
          <w:rFonts w:eastAsiaTheme="minorEastAsia" w:cstheme="minorHAnsi"/>
          <w:szCs w:val="21"/>
        </w:rPr>
      </w:pPr>
    </w:p>
    <w:p w14:paraId="745EFF70" w14:textId="77777777" w:rsidR="00462D96" w:rsidRPr="007B6C79" w:rsidRDefault="00462D96" w:rsidP="00462D96">
      <w:pPr>
        <w:spacing w:before="120" w:after="0" w:line="276" w:lineRule="auto"/>
        <w:jc w:val="both"/>
        <w:rPr>
          <w:rFonts w:eastAsiaTheme="minorEastAsia" w:cstheme="minorHAnsi"/>
          <w:szCs w:val="21"/>
        </w:rPr>
      </w:pPr>
      <w:r w:rsidRPr="007B6C79">
        <w:rPr>
          <w:rFonts w:eastAsiaTheme="minorEastAsia" w:cstheme="minorHAnsi"/>
          <w:szCs w:val="21"/>
        </w:rPr>
        <w:t xml:space="preserve">V průběhu roku 2023 byly zahájeny tyto kontroly: </w:t>
      </w:r>
    </w:p>
    <w:p w14:paraId="7B7A601F" w14:textId="660CA948" w:rsidR="00462D96" w:rsidRPr="007B6C79" w:rsidRDefault="007B6C79" w:rsidP="007B6C79">
      <w:pPr>
        <w:spacing w:before="120" w:after="0" w:line="276" w:lineRule="auto"/>
        <w:jc w:val="both"/>
        <w:rPr>
          <w:rFonts w:cstheme="minorHAnsi"/>
          <w:b/>
          <w:sz w:val="22"/>
        </w:rPr>
      </w:pPr>
      <w:r w:rsidRPr="007B6C79">
        <w:rPr>
          <w:rFonts w:cstheme="minorHAnsi"/>
          <w:b/>
          <w:sz w:val="22"/>
        </w:rPr>
        <w:t>K</w:t>
      </w:r>
      <w:r w:rsidR="00462D96" w:rsidRPr="007B6C79">
        <w:rPr>
          <w:rFonts w:cstheme="minorHAnsi"/>
          <w:b/>
          <w:sz w:val="22"/>
        </w:rPr>
        <w:t>ontrola realizace a účinnosti opatření přijatých k odstranění nebo prevenci nedostatků zjištěných při předcházející kontrole postupu akvizice nových pojištěnců.</w:t>
      </w:r>
    </w:p>
    <w:p w14:paraId="20C68FF5" w14:textId="77777777" w:rsidR="00462D96" w:rsidRPr="007B6C79" w:rsidRDefault="00462D96" w:rsidP="00462D96">
      <w:pPr>
        <w:spacing w:before="60" w:after="0"/>
        <w:jc w:val="both"/>
        <w:rPr>
          <w:rFonts w:eastAsiaTheme="minorEastAsia" w:cstheme="minorHAnsi"/>
          <w:szCs w:val="21"/>
        </w:rPr>
      </w:pPr>
      <w:r w:rsidRPr="007B6C79">
        <w:rPr>
          <w:rFonts w:eastAsiaTheme="minorEastAsia" w:cstheme="minorHAnsi"/>
          <w:szCs w:val="21"/>
        </w:rPr>
        <w:t>Kontrola probíhá u všech zdravotních pojišťoven. Předmětem kontroly je ověření, jak se zdravotní pojišťovny vypořádaly s kontrolními zjištěními z minulé kontroly, kdy byly zjištěny postupy při náboru nových pojištěnců v rozpory s právními předpisy.</w:t>
      </w:r>
    </w:p>
    <w:p w14:paraId="7C8D65DE" w14:textId="77777777" w:rsidR="00462D96" w:rsidRPr="007B6C79" w:rsidRDefault="00462D96" w:rsidP="00462D96">
      <w:pPr>
        <w:spacing w:before="60" w:after="0"/>
        <w:jc w:val="both"/>
        <w:rPr>
          <w:rFonts w:eastAsiaTheme="minorEastAsia" w:cstheme="minorHAnsi"/>
          <w:szCs w:val="21"/>
        </w:rPr>
      </w:pPr>
    </w:p>
    <w:p w14:paraId="5789FADF" w14:textId="04E78DDB" w:rsidR="00462D96" w:rsidRPr="007B6C79" w:rsidRDefault="007B6C79" w:rsidP="007B6C79">
      <w:pPr>
        <w:spacing w:before="120" w:after="0" w:line="276" w:lineRule="auto"/>
        <w:jc w:val="both"/>
        <w:rPr>
          <w:rFonts w:cstheme="minorHAnsi"/>
          <w:b/>
          <w:sz w:val="22"/>
        </w:rPr>
      </w:pPr>
      <w:r w:rsidRPr="007B6C79">
        <w:rPr>
          <w:rFonts w:cstheme="minorHAnsi"/>
          <w:b/>
          <w:sz w:val="22"/>
        </w:rPr>
        <w:t>K</w:t>
      </w:r>
      <w:r w:rsidR="00462D96" w:rsidRPr="007B6C79">
        <w:rPr>
          <w:rFonts w:cstheme="minorHAnsi"/>
          <w:b/>
          <w:sz w:val="22"/>
        </w:rPr>
        <w:t>ontrola Revizní systémy hrazených služeb poskytovaných poskytovateli v oboru zubní lékařství.</w:t>
      </w:r>
    </w:p>
    <w:p w14:paraId="636A155A" w14:textId="77777777" w:rsidR="00462D96" w:rsidRPr="007B6C79" w:rsidRDefault="00462D96" w:rsidP="00462D96">
      <w:pPr>
        <w:spacing w:before="60" w:after="0"/>
        <w:jc w:val="both"/>
        <w:rPr>
          <w:rFonts w:cstheme="minorHAnsi"/>
          <w:iCs/>
          <w:szCs w:val="21"/>
        </w:rPr>
      </w:pPr>
      <w:r w:rsidRPr="007B6C79">
        <w:rPr>
          <w:rFonts w:eastAsiaTheme="minorEastAsia" w:cstheme="minorHAnsi"/>
          <w:szCs w:val="21"/>
        </w:rPr>
        <w:t>Kontrola probíhá u všech zdravotních pojišťoven. Předmětem kontroly je ověření funkčnosti revizních systémů zdravotních pojišťoven jakožto součástí průběžné a následné řídící kontroly využívání a poskytování hrazených služeb poskytovaných poskytovateli v oboru zubní lékařství a jejich vyúčtování ZP s důrazem na účelné a efektivní vynakládání veřejných prostředků.</w:t>
      </w:r>
    </w:p>
    <w:p w14:paraId="7E80BA0E" w14:textId="4829653A" w:rsidR="00436F6E" w:rsidRPr="006872B1" w:rsidRDefault="00436F6E" w:rsidP="007327D1">
      <w:pPr>
        <w:pStyle w:val="Nadpis1"/>
      </w:pPr>
      <w:bookmarkStart w:id="76" w:name="_Toc169176584"/>
      <w:r w:rsidRPr="006872B1">
        <w:t>Závěr</w:t>
      </w:r>
      <w:bookmarkEnd w:id="76"/>
      <w:r w:rsidRPr="006872B1">
        <w:t xml:space="preserve"> </w:t>
      </w:r>
    </w:p>
    <w:p w14:paraId="2F86F308" w14:textId="7372CAF4" w:rsidR="00AF5F72" w:rsidRDefault="008B64B1" w:rsidP="00AF5F72">
      <w:pPr>
        <w:spacing w:after="200" w:line="276" w:lineRule="auto"/>
        <w:jc w:val="both"/>
        <w:rPr>
          <w:rFonts w:cstheme="minorHAnsi"/>
          <w:szCs w:val="21"/>
        </w:rPr>
      </w:pPr>
      <w:r>
        <w:rPr>
          <w:rFonts w:cstheme="minorHAnsi"/>
          <w:szCs w:val="21"/>
        </w:rPr>
        <w:t xml:space="preserve">Systém veřejného zdravotního pojištění </w:t>
      </w:r>
      <w:r w:rsidR="0000173D">
        <w:rPr>
          <w:rFonts w:cstheme="minorHAnsi"/>
          <w:szCs w:val="21"/>
        </w:rPr>
        <w:t>hospodařil v roce 2023 s celkovými příjmy 467,5 mld. Kč, celkovými výdaji 469,2 mld. Kč a deficitem 1,7 mld. Kč. Deficitní hospodaření se stalo trendem pro zaměstnanecké pojišťovny více let po sobě</w:t>
      </w:r>
      <w:r w:rsidR="005B1A84">
        <w:rPr>
          <w:rFonts w:cstheme="minorHAnsi"/>
          <w:szCs w:val="21"/>
        </w:rPr>
        <w:t xml:space="preserve">, naopak VZP ČR vykázala opět přebytek, a to ve výši necelé </w:t>
      </w:r>
      <w:r w:rsidR="00252624">
        <w:rPr>
          <w:rFonts w:cstheme="minorHAnsi"/>
          <w:szCs w:val="21"/>
        </w:rPr>
        <w:t xml:space="preserve">1 </w:t>
      </w:r>
      <w:r w:rsidR="005B1A84">
        <w:rPr>
          <w:rFonts w:cstheme="minorHAnsi"/>
          <w:szCs w:val="21"/>
        </w:rPr>
        <w:t>m</w:t>
      </w:r>
      <w:r w:rsidR="00252624">
        <w:rPr>
          <w:rFonts w:cstheme="minorHAnsi"/>
          <w:szCs w:val="21"/>
        </w:rPr>
        <w:t>ld.</w:t>
      </w:r>
      <w:r w:rsidR="005B1A84">
        <w:rPr>
          <w:rFonts w:cstheme="minorHAnsi"/>
          <w:szCs w:val="21"/>
        </w:rPr>
        <w:t xml:space="preserve"> Kč.</w:t>
      </w:r>
      <w:r w:rsidR="009346AE">
        <w:rPr>
          <w:rFonts w:cstheme="minorHAnsi"/>
          <w:szCs w:val="21"/>
        </w:rPr>
        <w:t xml:space="preserve"> V roce 2023 se systém vyznačoval nadprůměrnou dynamikou jak příjmů (+8,0 %), tak především výdajů (+9,7 %).  </w:t>
      </w:r>
    </w:p>
    <w:p w14:paraId="71E8B957" w14:textId="77777777" w:rsidR="00AF5F72" w:rsidRDefault="00AF5F72">
      <w:pPr>
        <w:spacing w:after="200" w:line="276" w:lineRule="auto"/>
        <w:rPr>
          <w:rFonts w:cstheme="minorHAnsi"/>
          <w:szCs w:val="21"/>
        </w:rPr>
      </w:pPr>
      <w:r>
        <w:rPr>
          <w:rFonts w:cstheme="minorHAnsi"/>
          <w:szCs w:val="21"/>
        </w:rPr>
        <w:br w:type="page"/>
      </w:r>
    </w:p>
    <w:p w14:paraId="67264F3F" w14:textId="77777777" w:rsidR="00736238" w:rsidRPr="00DA6B5E" w:rsidRDefault="00736238" w:rsidP="007327D1">
      <w:pPr>
        <w:pStyle w:val="Nadpis1"/>
      </w:pPr>
      <w:bookmarkStart w:id="77" w:name="_Toc169176585"/>
      <w:r w:rsidRPr="00DA6B5E">
        <w:t>Legislativní rámec</w:t>
      </w:r>
      <w:bookmarkEnd w:id="77"/>
    </w:p>
    <w:p w14:paraId="43BB1FD1" w14:textId="77777777" w:rsidR="00736238" w:rsidRDefault="00736238" w:rsidP="00736238">
      <w:pPr>
        <w:jc w:val="both"/>
      </w:pPr>
      <w:r>
        <w:t>Současná legislativní úprava upravuje problematiku obdobně v případě Všeobecné zdravotní pojišťovny ČR a</w:t>
      </w:r>
      <w:r w:rsidR="003D5AD1">
        <w:t> </w:t>
      </w:r>
      <w:r>
        <w:t>zaměstnaneckých zdravotních pojišťoven. Následující subkapitoly obsahují příslušná ustanovení, která slouží k hlubšímu zasazení předkládané dokumentu do kontextu.</w:t>
      </w:r>
    </w:p>
    <w:p w14:paraId="7CC07F65" w14:textId="77777777" w:rsidR="00736238" w:rsidRPr="00AC25F3" w:rsidRDefault="00736238" w:rsidP="007327D1">
      <w:pPr>
        <w:pStyle w:val="Nadpis2"/>
      </w:pPr>
      <w:bookmarkStart w:id="78" w:name="_Toc169176586"/>
      <w:r w:rsidRPr="00AC25F3">
        <w:t>Všeobecná zdravotní pojišťovna ČR</w:t>
      </w:r>
      <w:bookmarkEnd w:id="78"/>
    </w:p>
    <w:p w14:paraId="7D862FF9" w14:textId="2D46C2F2" w:rsidR="003014C4" w:rsidRPr="00040258" w:rsidRDefault="003014C4" w:rsidP="003014C4">
      <w:r w:rsidRPr="00040258">
        <w:t>Konkrétní zákonná úprava je k </w:t>
      </w:r>
      <w:r>
        <w:t>30</w:t>
      </w:r>
      <w:r w:rsidRPr="00040258">
        <w:t xml:space="preserve">. </w:t>
      </w:r>
      <w:r>
        <w:t>4</w:t>
      </w:r>
      <w:r w:rsidRPr="00040258">
        <w:t xml:space="preserve">. </w:t>
      </w:r>
      <w:r w:rsidR="00191AF0">
        <w:t>202</w:t>
      </w:r>
      <w:r w:rsidR="006F01CC">
        <w:t>3</w:t>
      </w:r>
      <w:r w:rsidR="00191AF0" w:rsidRPr="00040258">
        <w:t xml:space="preserve"> </w:t>
      </w:r>
      <w:r w:rsidRPr="00040258">
        <w:t>v případě VZP ČR uvedena v § 6 zákona č. 551/1991 Sb., o Všeobecné zdravotní pojišťovně České republiky ve znění pozdějších předpisů tato:</w:t>
      </w:r>
    </w:p>
    <w:p w14:paraId="1FEB6ADB" w14:textId="6E25246D" w:rsidR="003014C4" w:rsidRPr="00B2033D" w:rsidRDefault="003014C4" w:rsidP="003014C4">
      <w:pPr>
        <w:spacing w:after="0" w:line="23" w:lineRule="atLeast"/>
        <w:ind w:firstLine="709"/>
        <w:jc w:val="both"/>
        <w:rPr>
          <w:i/>
        </w:rPr>
      </w:pPr>
      <w:r w:rsidDel="009B6586">
        <w:rPr>
          <w:i/>
        </w:rPr>
        <w:t xml:space="preserve"> </w:t>
      </w:r>
      <w:r w:rsidRPr="00B2033D">
        <w:rPr>
          <w:i/>
        </w:rPr>
        <w:t>(1) Pojišťovna každý kalendářní rok sestavuje zdravotně pojistný plán na následující kalendářní rok (dále jen "zdravotně pojistný plán") a výhled nejméně na dva další kalendářní roky následující po roce, na který je sestaven zdravotně pojistný plán (dále jen "výhled"). Při sestavování zdravotně pojistn</w:t>
      </w:r>
      <w:r>
        <w:rPr>
          <w:i/>
        </w:rPr>
        <w:t>ého plánu se vychází z</w:t>
      </w:r>
      <w:r w:rsidR="00252624">
        <w:rPr>
          <w:i/>
        </w:rPr>
        <w:t> </w:t>
      </w:r>
      <w:r>
        <w:rPr>
          <w:i/>
        </w:rPr>
        <w:t>výhledu.</w:t>
      </w:r>
      <w:r w:rsidRPr="00B2033D">
        <w:rPr>
          <w:i/>
        </w:rPr>
        <w:t xml:space="preserve"> </w:t>
      </w:r>
    </w:p>
    <w:p w14:paraId="256F0FBA" w14:textId="77777777" w:rsidR="003014C4" w:rsidRPr="00B2033D" w:rsidRDefault="003014C4" w:rsidP="003014C4">
      <w:pPr>
        <w:spacing w:after="0" w:line="23" w:lineRule="atLeast"/>
        <w:ind w:firstLine="709"/>
        <w:jc w:val="both"/>
        <w:rPr>
          <w:i/>
        </w:rPr>
      </w:pPr>
      <w:r w:rsidRPr="00B2033D">
        <w:rPr>
          <w:i/>
        </w:rPr>
        <w:t>(2) Zdravotně pojistný plán je zpravidla sestavován jako vyrovnaný, přičemž vyrovnaným zdravotně pojistným plánem se pro účely tohoto zákona rozumí takový plán, ve kterém plánované výdaje nepřekra</w:t>
      </w:r>
      <w:r>
        <w:rPr>
          <w:i/>
        </w:rPr>
        <w:t>čují součet plánovaných příjmů.</w:t>
      </w:r>
    </w:p>
    <w:p w14:paraId="30BB26F1" w14:textId="77777777" w:rsidR="003014C4" w:rsidRPr="00B2033D" w:rsidRDefault="003014C4" w:rsidP="003014C4">
      <w:pPr>
        <w:spacing w:after="0" w:line="23" w:lineRule="atLeast"/>
        <w:ind w:firstLine="709"/>
        <w:jc w:val="both"/>
        <w:rPr>
          <w:i/>
        </w:rPr>
      </w:pPr>
      <w:r w:rsidRPr="00B2033D">
        <w:rPr>
          <w:i/>
        </w:rPr>
        <w:t>(3) Zdravotně pojistný p</w:t>
      </w:r>
      <w:r>
        <w:rPr>
          <w:i/>
        </w:rPr>
        <w:t>lán může být sestaven jako</w:t>
      </w:r>
    </w:p>
    <w:p w14:paraId="16D1B343" w14:textId="77777777" w:rsidR="003014C4" w:rsidRPr="00B2033D" w:rsidRDefault="003014C4" w:rsidP="003014C4">
      <w:pPr>
        <w:spacing w:after="0" w:line="23" w:lineRule="atLeast"/>
        <w:ind w:firstLine="709"/>
        <w:jc w:val="both"/>
        <w:rPr>
          <w:i/>
        </w:rPr>
      </w:pPr>
      <w:r w:rsidRPr="00B2033D">
        <w:rPr>
          <w:i/>
        </w:rPr>
        <w:t>a) přebytkový, jestliže je část příjmů daného roku určena k využití až v následujících letech; tyto příjmy musí být v takovém zdravotně</w:t>
      </w:r>
      <w:r>
        <w:rPr>
          <w:i/>
        </w:rPr>
        <w:t xml:space="preserve"> pojistném plánu vymezeny, nebo</w:t>
      </w:r>
    </w:p>
    <w:p w14:paraId="05D6BE4D" w14:textId="77777777" w:rsidR="003014C4" w:rsidRPr="00B2033D" w:rsidRDefault="003014C4" w:rsidP="003014C4">
      <w:pPr>
        <w:spacing w:after="0" w:line="23" w:lineRule="atLeast"/>
        <w:ind w:firstLine="709"/>
        <w:jc w:val="both"/>
        <w:rPr>
          <w:i/>
        </w:rPr>
      </w:pPr>
      <w:r w:rsidRPr="00B2033D">
        <w:rPr>
          <w:i/>
        </w:rPr>
        <w:t>b) schodkový, jestliže je schodek možné uhradit finančními zůstatky na fondech z minulých let při zachování zůstatku rezervního fondu nejméně ve výši podle § 7 odst. 1 písm. b); způsob úhrady schodku musí být v takovém zdravotně pojistném plánu vymezen.</w:t>
      </w:r>
    </w:p>
    <w:p w14:paraId="1A4F42DA" w14:textId="77777777" w:rsidR="003014C4" w:rsidRPr="00B2033D" w:rsidRDefault="003014C4" w:rsidP="003014C4">
      <w:pPr>
        <w:spacing w:after="0" w:line="23" w:lineRule="atLeast"/>
        <w:jc w:val="both"/>
        <w:rPr>
          <w:i/>
        </w:rPr>
      </w:pPr>
      <w:r w:rsidRPr="00B2033D">
        <w:rPr>
          <w:i/>
        </w:rPr>
        <w:t>(4) Pojišťovna hospodaří v souladu se schváleným zdravotně poj</w:t>
      </w:r>
      <w:r>
        <w:rPr>
          <w:i/>
        </w:rPr>
        <w:t>istným plánem nebo provizoriem.</w:t>
      </w:r>
    </w:p>
    <w:p w14:paraId="6DC4657B" w14:textId="77777777" w:rsidR="003014C4" w:rsidRPr="00B2033D" w:rsidRDefault="003014C4" w:rsidP="003014C4">
      <w:pPr>
        <w:spacing w:after="0" w:line="23" w:lineRule="atLeast"/>
        <w:jc w:val="both"/>
        <w:rPr>
          <w:i/>
        </w:rPr>
      </w:pPr>
      <w:r w:rsidRPr="00B2033D">
        <w:rPr>
          <w:i/>
        </w:rPr>
        <w:t>(5) Pojišťovna je povinna zajistit prostřednictvím auditora13) nebo právnické osoby, která</w:t>
      </w:r>
      <w:r>
        <w:rPr>
          <w:i/>
        </w:rPr>
        <w:t xml:space="preserve"> je zapsána v seznamu auditorů), (dále jen "auditor")</w:t>
      </w:r>
    </w:p>
    <w:p w14:paraId="22761A0B" w14:textId="77777777" w:rsidR="003014C4" w:rsidRPr="00B2033D" w:rsidRDefault="003014C4" w:rsidP="003014C4">
      <w:pPr>
        <w:spacing w:after="0" w:line="23" w:lineRule="atLeast"/>
        <w:jc w:val="both"/>
        <w:rPr>
          <w:i/>
        </w:rPr>
      </w:pPr>
      <w:r w:rsidRPr="00B2033D">
        <w:rPr>
          <w:i/>
        </w:rPr>
        <w:t>a) ově</w:t>
      </w:r>
      <w:r>
        <w:rPr>
          <w:i/>
        </w:rPr>
        <w:t>ření účetní závěrky Pojišťovny,</w:t>
      </w:r>
    </w:p>
    <w:p w14:paraId="27D1E34D" w14:textId="77777777" w:rsidR="003014C4" w:rsidRPr="00B2033D" w:rsidRDefault="003014C4" w:rsidP="003014C4">
      <w:pPr>
        <w:spacing w:after="0" w:line="23" w:lineRule="atLeast"/>
        <w:jc w:val="both"/>
        <w:rPr>
          <w:i/>
        </w:rPr>
      </w:pPr>
      <w:r w:rsidRPr="00B2033D">
        <w:rPr>
          <w:i/>
        </w:rPr>
        <w:t>b) ověření návrhu výroční zprávy Pojišťovny za příslušný rok.</w:t>
      </w:r>
    </w:p>
    <w:p w14:paraId="3A09C981" w14:textId="77777777" w:rsidR="003014C4" w:rsidRPr="009B6586" w:rsidRDefault="003014C4" w:rsidP="003014C4">
      <w:pPr>
        <w:spacing w:after="0" w:line="23" w:lineRule="atLeast"/>
        <w:ind w:firstLine="709"/>
        <w:jc w:val="both"/>
        <w:rPr>
          <w:b/>
          <w:i/>
        </w:rPr>
      </w:pPr>
      <w:r w:rsidRPr="009B6586">
        <w:rPr>
          <w:b/>
          <w:i/>
        </w:rPr>
        <w:t>(6) Pojišťovna je povinna v návaznosti na termíny stanovené jiným zákonem pro předkládání návrhu státního rozpočtu a státního závěrečného účtu předložit Ministerstvu zdravotnictví a Ministerstvu financí návrh zdravotně pojistného plánu na následující kalendářní rok, účetní závěrku, návrh výroční zprávy za minulý kalendářní rok včetně zprávy auditora a pro informaci také výhled.</w:t>
      </w:r>
    </w:p>
    <w:p w14:paraId="24842D1C" w14:textId="12D847AB" w:rsidR="003014C4" w:rsidRPr="00B2033D" w:rsidRDefault="003014C4" w:rsidP="003014C4">
      <w:pPr>
        <w:spacing w:after="0" w:line="23" w:lineRule="atLeast"/>
        <w:ind w:firstLine="709"/>
        <w:jc w:val="both"/>
        <w:rPr>
          <w:i/>
        </w:rPr>
      </w:pPr>
      <w:r w:rsidRPr="00B2033D">
        <w:rPr>
          <w:i/>
        </w:rPr>
        <w:t>(7) Zdravotně pojistný plán a výhled obsahují údaje o Pojišťovně, plán příjmů a výdajů Pojišťovny včetně členění podle jednotlivých fondů, předpokládaný vývoj struktury pojištěnců, údaje o rozsahu hrazených služeb zajišťovaných Pojišťovnou, plán vývoje sítě smluvních poskytovatelů hrazených služeb včetně informace o zajištění dostupnosti hrazených služeb a plán provozních nákladů. Podrobnou strukturu obsahu informací podle věty první a způsob předkládání zdravotně pojistného plánu a výhledu stanoví Ministerstvo zdravotnictví společně s</w:t>
      </w:r>
      <w:r w:rsidR="00252624">
        <w:rPr>
          <w:i/>
        </w:rPr>
        <w:t> </w:t>
      </w:r>
      <w:r w:rsidRPr="00B2033D">
        <w:rPr>
          <w:i/>
        </w:rPr>
        <w:t>Ministerstvem financí vyhláškou.</w:t>
      </w:r>
    </w:p>
    <w:p w14:paraId="7DC35D71" w14:textId="77777777" w:rsidR="003014C4" w:rsidRDefault="003014C4" w:rsidP="003014C4">
      <w:pPr>
        <w:spacing w:after="0" w:line="23" w:lineRule="atLeast"/>
        <w:ind w:firstLine="709"/>
        <w:jc w:val="both"/>
        <w:rPr>
          <w:i/>
        </w:rPr>
      </w:pPr>
      <w:r w:rsidRPr="00B2033D">
        <w:rPr>
          <w:i/>
        </w:rPr>
        <w:t>(8) Ministerstvo zdravotnictví a Ministerstvo financí posoudí předložený návrh zdravotně pojistného plánu z hlediska souladu s právními předpisy a z hlediska souladu s veřejným zájmem podle zákona o veřejném zdravotním pojištění.</w:t>
      </w:r>
    </w:p>
    <w:p w14:paraId="4AE4A2D3" w14:textId="77777777" w:rsidR="003014C4" w:rsidRPr="00B2033D" w:rsidRDefault="003014C4" w:rsidP="003014C4">
      <w:pPr>
        <w:spacing w:after="0" w:line="23" w:lineRule="atLeast"/>
        <w:ind w:firstLine="709"/>
        <w:jc w:val="both"/>
        <w:rPr>
          <w:i/>
        </w:rPr>
      </w:pPr>
      <w:r w:rsidRPr="00B2033D">
        <w:rPr>
          <w:i/>
        </w:rPr>
        <w:t>(9) V případě, kdy Ministerstvo zdravotnictví a Ministerstvo financí po posouzení souladu návrhu zdravotně pojistného plánu s právními předpisy a veřejným zájmem podle zákona o veřejném zdravotním pojištění zjistí, že návrh zdravotně pojistného plánu není s těmito hledisky v rozporu, předloží návrh zdravotně pojistného plánu vládě.</w:t>
      </w:r>
    </w:p>
    <w:p w14:paraId="40474C59" w14:textId="77777777" w:rsidR="003014C4" w:rsidRPr="00B2033D" w:rsidRDefault="003014C4" w:rsidP="003014C4">
      <w:pPr>
        <w:spacing w:after="0" w:line="23" w:lineRule="atLeast"/>
        <w:jc w:val="both"/>
        <w:rPr>
          <w:i/>
        </w:rPr>
      </w:pPr>
      <w:r>
        <w:rPr>
          <w:i/>
        </w:rPr>
        <w:t xml:space="preserve"> </w:t>
      </w:r>
      <w:r>
        <w:rPr>
          <w:i/>
        </w:rPr>
        <w:tab/>
      </w:r>
      <w:r w:rsidRPr="00B2033D">
        <w:rPr>
          <w:i/>
        </w:rPr>
        <w:t>(10) V případě, kdy Ministerstvo zdravotnictví a Ministerstvo financí zjistí, že návrh zdravotně pojistného plánu odporuje právním předpisům anebo veřejnému zájmu podle zákona o veřejném zdravotním pojištění, vrátí Pojišťovně návrh zdravotně pojistného plánu s výzvou k přepracování. Pojišťovna předloží přepracovaný návrh zdravotně pojistného plánu do 30 dnů ode dne doručení výzvy.</w:t>
      </w:r>
    </w:p>
    <w:p w14:paraId="017F11E1" w14:textId="50CC252C" w:rsidR="000568CC" w:rsidRPr="009B6586" w:rsidRDefault="000568CC" w:rsidP="000568CC">
      <w:pPr>
        <w:spacing w:after="0" w:line="23" w:lineRule="atLeast"/>
        <w:ind w:firstLine="709"/>
        <w:jc w:val="both"/>
        <w:rPr>
          <w:b/>
          <w:i/>
        </w:rPr>
      </w:pPr>
      <w:r w:rsidRPr="009B6586">
        <w:rPr>
          <w:b/>
          <w:i/>
        </w:rPr>
        <w:t>(11) Návrh zdravotně pojistného plánu, účetní závěrku a návrh výroční zprávy za minulý rok schvaluje na návrh vlády Poslanecká sněmovna Parlamentu v návaznosti na termíny projednávání návrhu státního rozpočtu a státního závěrečného účtu.</w:t>
      </w:r>
    </w:p>
    <w:p w14:paraId="02DDA328" w14:textId="77777777" w:rsidR="000568CC" w:rsidRPr="00B2033D" w:rsidRDefault="000568CC" w:rsidP="000568CC">
      <w:pPr>
        <w:spacing w:after="0" w:line="23" w:lineRule="atLeast"/>
        <w:ind w:firstLine="709"/>
        <w:jc w:val="both"/>
        <w:rPr>
          <w:i/>
        </w:rPr>
      </w:pPr>
      <w:r w:rsidRPr="00B2033D">
        <w:rPr>
          <w:i/>
        </w:rPr>
        <w:t>(12) Nebude-li zdravotně pojistný plán Pojišťovny schválen před 1. lednem příslušného kalendářního roku, řídí se činnost Pojišťovny do schválení zdravotně pojistného plánu provizoriem stanoveným Ministerstvem zdravotnictví v dohodě s Ministerstvem financí. Základem pro stanovení provizoria je návrh zdravotně pojistného plá</w:t>
      </w:r>
      <w:r>
        <w:rPr>
          <w:i/>
        </w:rPr>
        <w:t>nu na příslušný kalendářní rok.</w:t>
      </w:r>
    </w:p>
    <w:p w14:paraId="0BC8F4C7" w14:textId="77777777" w:rsidR="000568CC" w:rsidRPr="009B6586" w:rsidRDefault="000568CC" w:rsidP="000568CC">
      <w:pPr>
        <w:spacing w:after="0" w:line="23" w:lineRule="atLeast"/>
        <w:ind w:firstLine="709"/>
        <w:jc w:val="both"/>
        <w:rPr>
          <w:b/>
          <w:i/>
        </w:rPr>
      </w:pPr>
      <w:r w:rsidRPr="009B6586">
        <w:rPr>
          <w:b/>
          <w:i/>
        </w:rPr>
        <w:t>(13) Schválený zdravotně pojistný plán, nebo do schválení zdravotně pojistného plánu provizorium, výroční zprávu a účetní závěrku Pojišťovna zveřejní na svých internetových stránkách.</w:t>
      </w:r>
    </w:p>
    <w:p w14:paraId="37631A98" w14:textId="77777777" w:rsidR="000568CC" w:rsidRPr="00040258" w:rsidRDefault="000568CC" w:rsidP="000568CC">
      <w:pPr>
        <w:spacing w:after="0" w:line="23" w:lineRule="atLeast"/>
        <w:ind w:firstLine="576"/>
        <w:jc w:val="both"/>
        <w:rPr>
          <w:i/>
        </w:rPr>
      </w:pPr>
      <w:r w:rsidRPr="00B2033D">
        <w:rPr>
          <w:i/>
        </w:rPr>
        <w:t>(14) Při uplatnění opatření podle zákona o pravidlech rozpočtové odpovědnosti může být zdravotně pojistný plán navržen podle odstavce 3 písm. b) jen v případě, že schodek bude možné uhradit nejvýše jednou třetinou finančních zůstatků Pojišťovny z minulých let nebo návratnou finanční výpomocí.</w:t>
      </w:r>
    </w:p>
    <w:p w14:paraId="70000F6E" w14:textId="77777777" w:rsidR="000568CC" w:rsidRPr="006A5473" w:rsidRDefault="000568CC" w:rsidP="007327D1">
      <w:pPr>
        <w:pStyle w:val="Nadpis2"/>
      </w:pPr>
      <w:bookmarkStart w:id="79" w:name="_Toc72151522"/>
      <w:bookmarkStart w:id="80" w:name="_Toc169176587"/>
      <w:r w:rsidRPr="006A5473">
        <w:t>Zaměstnanecké zdravotní pojišťovny</w:t>
      </w:r>
      <w:bookmarkEnd w:id="79"/>
      <w:bookmarkEnd w:id="80"/>
    </w:p>
    <w:p w14:paraId="4D5CEA5E" w14:textId="69448D84" w:rsidR="000568CC" w:rsidRPr="00040258" w:rsidRDefault="000568CC" w:rsidP="000568CC">
      <w:pPr>
        <w:jc w:val="both"/>
      </w:pPr>
      <w:r w:rsidRPr="00040258">
        <w:t>Konkrétní zákonná úprava je k </w:t>
      </w:r>
      <w:r>
        <w:t>30</w:t>
      </w:r>
      <w:r w:rsidRPr="00040258">
        <w:t xml:space="preserve">. </w:t>
      </w:r>
      <w:r>
        <w:t>4</w:t>
      </w:r>
      <w:r w:rsidRPr="00040258">
        <w:t xml:space="preserve">. </w:t>
      </w:r>
      <w:r w:rsidR="00191AF0" w:rsidRPr="00040258">
        <w:t>2</w:t>
      </w:r>
      <w:r w:rsidR="00191AF0">
        <w:t>02</w:t>
      </w:r>
      <w:r w:rsidR="006F01CC">
        <w:t>3</w:t>
      </w:r>
      <w:r w:rsidR="00191AF0" w:rsidRPr="00040258">
        <w:t xml:space="preserve"> </w:t>
      </w:r>
      <w:r w:rsidRPr="00040258">
        <w:t>v případě ZZP uvedena v § 15 zákona č. 280/1992 Sb., o resortních, oborových, podnikových a dalších zdravotních pojišťovnách ve znění pozdějších předpisů tato:</w:t>
      </w:r>
    </w:p>
    <w:p w14:paraId="0097F849" w14:textId="77777777" w:rsidR="000568CC" w:rsidRPr="0071511A" w:rsidRDefault="000568CC" w:rsidP="000568CC">
      <w:pPr>
        <w:spacing w:after="0" w:line="276" w:lineRule="auto"/>
        <w:ind w:firstLine="709"/>
        <w:jc w:val="both"/>
        <w:rPr>
          <w:i/>
        </w:rPr>
      </w:pPr>
      <w:r w:rsidRPr="0071511A" w:rsidDel="009B6586">
        <w:rPr>
          <w:i/>
        </w:rPr>
        <w:t xml:space="preserve"> </w:t>
      </w:r>
      <w:r w:rsidRPr="0071511A">
        <w:rPr>
          <w:i/>
        </w:rPr>
        <w:t>(1) Zaměstnanecká pojišťovna každý kalendářní rok sestavuje zdravotně pojistný plán a výhled. Při sestavování zdravotně pojistného plánu se vychází z výhledu.</w:t>
      </w:r>
    </w:p>
    <w:p w14:paraId="611CBDB8" w14:textId="77777777" w:rsidR="000568CC" w:rsidRPr="0071511A" w:rsidRDefault="000568CC" w:rsidP="000568CC">
      <w:pPr>
        <w:spacing w:after="0" w:line="276" w:lineRule="auto"/>
        <w:ind w:firstLine="709"/>
        <w:jc w:val="both"/>
        <w:rPr>
          <w:i/>
        </w:rPr>
      </w:pPr>
      <w:r w:rsidRPr="0071511A">
        <w:rPr>
          <w:i/>
        </w:rPr>
        <w:t>(2) Zdravotně pojistný plán je zpravidla sestavován jako vyrovnaný, přičemž vyrovnaným zdravotně pojistným plánem se pro účely tohoto zákona rozumí takový plán, ve kterém plánované výdaje nepřekračují součet plánovaných příjmů.</w:t>
      </w:r>
    </w:p>
    <w:p w14:paraId="26A71456" w14:textId="77777777" w:rsidR="000568CC" w:rsidRPr="0071511A" w:rsidRDefault="000568CC" w:rsidP="000568CC">
      <w:pPr>
        <w:spacing w:after="0" w:line="276" w:lineRule="auto"/>
        <w:ind w:firstLine="709"/>
        <w:jc w:val="both"/>
        <w:rPr>
          <w:i/>
        </w:rPr>
      </w:pPr>
      <w:r w:rsidRPr="0071511A">
        <w:rPr>
          <w:i/>
        </w:rPr>
        <w:t>(3) Zdravotně pojis</w:t>
      </w:r>
      <w:r>
        <w:rPr>
          <w:i/>
        </w:rPr>
        <w:t>tný plán může být sestaven jako</w:t>
      </w:r>
    </w:p>
    <w:p w14:paraId="72C3FA09" w14:textId="19B0C45A" w:rsidR="000568CC" w:rsidRPr="0071511A" w:rsidRDefault="000568CC" w:rsidP="000568CC">
      <w:pPr>
        <w:spacing w:after="0" w:line="276" w:lineRule="auto"/>
        <w:jc w:val="both"/>
        <w:rPr>
          <w:i/>
        </w:rPr>
      </w:pPr>
      <w:r w:rsidRPr="0071511A">
        <w:rPr>
          <w:i/>
        </w:rPr>
        <w:t>a) přebytkový, jestliže je část příjmů daného roku určena k využití až v následujících letech; tyto příjmy musí být v</w:t>
      </w:r>
      <w:r w:rsidR="00252624">
        <w:rPr>
          <w:i/>
        </w:rPr>
        <w:t> </w:t>
      </w:r>
      <w:r w:rsidRPr="0071511A">
        <w:rPr>
          <w:i/>
        </w:rPr>
        <w:t>takovém zdravotně pojistném plánu vymezeny, nebo</w:t>
      </w:r>
    </w:p>
    <w:p w14:paraId="635C2075" w14:textId="77777777" w:rsidR="000568CC" w:rsidRPr="0071511A" w:rsidRDefault="000568CC" w:rsidP="000568CC">
      <w:pPr>
        <w:spacing w:after="0" w:line="276" w:lineRule="auto"/>
        <w:jc w:val="both"/>
        <w:rPr>
          <w:i/>
        </w:rPr>
      </w:pPr>
      <w:r w:rsidRPr="0071511A">
        <w:rPr>
          <w:i/>
        </w:rPr>
        <w:t>b) schodkový, jestliže je schodek možné uhradit finančními zůstatky na fondech z minulých let při zachování zůstatku rezervního fondu nejméně ve výši podle § 18 odst. 1; způsob úhrady musí být v takovém zdravotně pojistném plánu vymezen.</w:t>
      </w:r>
    </w:p>
    <w:p w14:paraId="605605A3" w14:textId="77777777" w:rsidR="000568CC" w:rsidRPr="0071511A" w:rsidRDefault="000568CC" w:rsidP="000568CC">
      <w:pPr>
        <w:spacing w:after="0" w:line="276" w:lineRule="auto"/>
        <w:jc w:val="both"/>
        <w:rPr>
          <w:i/>
        </w:rPr>
      </w:pPr>
      <w:r w:rsidRPr="0071511A">
        <w:rPr>
          <w:i/>
        </w:rPr>
        <w:tab/>
        <w:t>(4) Zaměstnanecká pojišťovna hospodaří v souladu se schváleným zdravotně poj</w:t>
      </w:r>
      <w:r>
        <w:rPr>
          <w:i/>
        </w:rPr>
        <w:t>istným plánem nebo provizoriem.</w:t>
      </w:r>
    </w:p>
    <w:p w14:paraId="5F2335F3" w14:textId="77777777" w:rsidR="000568CC" w:rsidRPr="0071511A" w:rsidRDefault="000568CC" w:rsidP="000568CC">
      <w:pPr>
        <w:spacing w:after="0" w:line="276" w:lineRule="auto"/>
        <w:jc w:val="both"/>
        <w:rPr>
          <w:i/>
        </w:rPr>
      </w:pPr>
      <w:r w:rsidRPr="0071511A">
        <w:rPr>
          <w:i/>
        </w:rPr>
        <w:tab/>
        <w:t xml:space="preserve">(5) Zaměstnanecká pojišťovna je povinna zajistit prostřednictvím auditora26) nebo právnické osoby, která </w:t>
      </w:r>
      <w:r>
        <w:rPr>
          <w:i/>
        </w:rPr>
        <w:t>je zapsána v seznamu auditorů</w:t>
      </w:r>
      <w:r w:rsidRPr="0071511A">
        <w:rPr>
          <w:i/>
        </w:rPr>
        <w:t>, (dále jen "auditor")</w:t>
      </w:r>
    </w:p>
    <w:p w14:paraId="64D98F28" w14:textId="77777777" w:rsidR="000568CC" w:rsidRPr="0071511A" w:rsidRDefault="000568CC" w:rsidP="000568CC">
      <w:pPr>
        <w:spacing w:after="0" w:line="276" w:lineRule="auto"/>
        <w:jc w:val="both"/>
        <w:rPr>
          <w:i/>
        </w:rPr>
      </w:pPr>
      <w:r w:rsidRPr="0071511A">
        <w:rPr>
          <w:i/>
        </w:rPr>
        <w:t>a) ověření účetní závěrky zaměstnanecké pojišťovn</w:t>
      </w:r>
      <w:r>
        <w:rPr>
          <w:i/>
        </w:rPr>
        <w:t>y,</w:t>
      </w:r>
    </w:p>
    <w:p w14:paraId="0955D03F" w14:textId="77777777" w:rsidR="000568CC" w:rsidRPr="0071511A" w:rsidRDefault="000568CC" w:rsidP="000568CC">
      <w:pPr>
        <w:spacing w:after="0" w:line="276" w:lineRule="auto"/>
        <w:jc w:val="both"/>
        <w:rPr>
          <w:i/>
        </w:rPr>
      </w:pPr>
      <w:r w:rsidRPr="0071511A">
        <w:rPr>
          <w:i/>
        </w:rPr>
        <w:t>b) ověření návrhu výroční zprávy zaměstnanec</w:t>
      </w:r>
      <w:r>
        <w:rPr>
          <w:i/>
        </w:rPr>
        <w:t>ké pojišťovny za příslušný rok.</w:t>
      </w:r>
    </w:p>
    <w:p w14:paraId="3C22A4C7" w14:textId="40908E02" w:rsidR="000568CC" w:rsidRPr="009B6586" w:rsidRDefault="000568CC" w:rsidP="000568CC">
      <w:pPr>
        <w:spacing w:after="0" w:line="276" w:lineRule="auto"/>
        <w:jc w:val="both"/>
        <w:rPr>
          <w:b/>
          <w:i/>
        </w:rPr>
      </w:pPr>
      <w:r w:rsidRPr="0071511A">
        <w:rPr>
          <w:i/>
        </w:rPr>
        <w:tab/>
      </w:r>
      <w:r w:rsidRPr="009B6586">
        <w:rPr>
          <w:b/>
          <w:i/>
        </w:rPr>
        <w:t>(6) Zaměstnanecká pojišťovna je povinna v návaznosti na termíny stanovené jiným zákonem pro předkládání návrhu státního rozpočtu a státního závěrečného účtu předložit Ministerstvu zdravotnictví a</w:t>
      </w:r>
      <w:r w:rsidR="00252624">
        <w:rPr>
          <w:b/>
          <w:i/>
        </w:rPr>
        <w:t> </w:t>
      </w:r>
      <w:r w:rsidRPr="009B6586">
        <w:rPr>
          <w:b/>
          <w:i/>
        </w:rPr>
        <w:t>Ministerstvu financí návrh zdravotně pojistného plánu na následující kalendářní rok, účetní závěrku, návrh výroční zprávy za minulý kalendářní rok včetně zprávy auditora a pro informaci také výhled.</w:t>
      </w:r>
    </w:p>
    <w:p w14:paraId="1818405C" w14:textId="77777777" w:rsidR="000568CC" w:rsidRPr="0071511A" w:rsidRDefault="000568CC" w:rsidP="000568CC">
      <w:pPr>
        <w:spacing w:after="0" w:line="276" w:lineRule="auto"/>
        <w:jc w:val="both"/>
        <w:rPr>
          <w:i/>
        </w:rPr>
      </w:pPr>
      <w:r w:rsidRPr="0071511A">
        <w:rPr>
          <w:i/>
        </w:rPr>
        <w:tab/>
        <w:t>(7) Zdravotně pojistný plán a výhled obsahují údaje o zaměstnanecké pojišťovně, plán příjmů a výdajů zaměstnanecké pojišťovny včetně členění podle jednotlivých fondů, předpokládaný vývoj struktury pojištěnců, údaje o rozsahu hrazených služeb zajišťovaných zaměstnaneckou pojišťovnou, plán vývoje sítě smluvních poskytovatelů hrazených služeb včetně informace o zajištění dostupnosti hrazených služeb a plán provozních nákladů. Podrobnou strukturu obsahu informací podle věty první a způsob předkládání zdravotně pojistného plánu a výhledu stanoví Ministerstvo zdravotnictví společně s M</w:t>
      </w:r>
      <w:r>
        <w:rPr>
          <w:i/>
        </w:rPr>
        <w:t>inisterstvem financí vyhláškou.</w:t>
      </w:r>
    </w:p>
    <w:p w14:paraId="7569C9A2" w14:textId="77777777" w:rsidR="000568CC" w:rsidRPr="0071511A" w:rsidRDefault="000568CC" w:rsidP="000568CC">
      <w:pPr>
        <w:spacing w:after="0" w:line="276" w:lineRule="auto"/>
        <w:jc w:val="both"/>
        <w:rPr>
          <w:i/>
        </w:rPr>
      </w:pPr>
      <w:r w:rsidRPr="0071511A">
        <w:rPr>
          <w:i/>
        </w:rPr>
        <w:tab/>
        <w:t>(8) Ministerstvo zdravotnictví a Ministerstvo financí posoudí předložený návrh zdravotně pojistného plánu z hlediska souladu s právními předpisy a z hlediska souladu s veřejným zájmem podle zákona o</w:t>
      </w:r>
      <w:r>
        <w:rPr>
          <w:i/>
        </w:rPr>
        <w:t xml:space="preserve"> veřejném zdravotním pojištění.</w:t>
      </w:r>
    </w:p>
    <w:p w14:paraId="6E141CE5" w14:textId="09B4A4DF" w:rsidR="000568CC" w:rsidRPr="0071511A" w:rsidRDefault="00736238" w:rsidP="000568CC">
      <w:pPr>
        <w:spacing w:after="0" w:line="276" w:lineRule="auto"/>
        <w:jc w:val="both"/>
        <w:rPr>
          <w:i/>
        </w:rPr>
      </w:pPr>
      <w:r w:rsidRPr="00040258">
        <w:rPr>
          <w:i/>
        </w:rPr>
        <w:tab/>
      </w:r>
      <w:r w:rsidR="000568CC" w:rsidRPr="0071511A">
        <w:rPr>
          <w:i/>
        </w:rPr>
        <w:t>(9) V případě, kdy Ministerstvo zdravotnictví a Ministerstvo financí po posouzení souladu návrhu zdravotně pojistného plánu s právními předpisy a veřejným zájmem podle zákona o veřejném zdravotním pojištění zjistí, že návrh zdravotně pojistného plánu není s těmito hledisky v rozporu, předloží návrh zd</w:t>
      </w:r>
      <w:r w:rsidR="000568CC">
        <w:rPr>
          <w:i/>
        </w:rPr>
        <w:t>ravotně pojistného plánu vládě.</w:t>
      </w:r>
    </w:p>
    <w:p w14:paraId="14A56738" w14:textId="77777777" w:rsidR="000568CC" w:rsidRPr="0071511A" w:rsidRDefault="000568CC" w:rsidP="000568CC">
      <w:pPr>
        <w:spacing w:after="0" w:line="276" w:lineRule="auto"/>
        <w:jc w:val="both"/>
        <w:rPr>
          <w:i/>
        </w:rPr>
      </w:pPr>
      <w:r w:rsidRPr="0071511A">
        <w:rPr>
          <w:i/>
        </w:rPr>
        <w:tab/>
        <w:t>(10) V případě, kdy Ministerstvo zdravotnictví a Ministerstvo financí zjistí, že návrh zdravotně pojistného plánu odporuje právním předpisům anebo veřejnému zájmu podle zákona o veřejném zdravotním pojištění, vrátí zaměstnanecké pojišťovně návrh zdravotně pojistného plánu s výzvou k přepracování. Zaměstnanecká pojišťovna předloží přepracovaný návrh zdravotně pojistného plánu do</w:t>
      </w:r>
      <w:r>
        <w:rPr>
          <w:i/>
        </w:rPr>
        <w:t xml:space="preserve"> 30 dnů ode dne doručení výzvy.</w:t>
      </w:r>
    </w:p>
    <w:p w14:paraId="287583B8" w14:textId="77777777" w:rsidR="000568CC" w:rsidRPr="009B6586" w:rsidRDefault="000568CC" w:rsidP="000568CC">
      <w:pPr>
        <w:spacing w:after="0" w:line="276" w:lineRule="auto"/>
        <w:jc w:val="both"/>
        <w:rPr>
          <w:b/>
          <w:i/>
        </w:rPr>
      </w:pPr>
      <w:r w:rsidRPr="0071511A">
        <w:rPr>
          <w:i/>
        </w:rPr>
        <w:tab/>
      </w:r>
      <w:r w:rsidRPr="009B6586">
        <w:rPr>
          <w:b/>
          <w:i/>
        </w:rPr>
        <w:t>(11) Návrh zdravotně pojistného plánu, účetní závěrku a návrh výroční zprávy za minulý rok schvaluje na návrh vlády Poslanecká sněmovna Parlamentu v návaznosti na termíny projednávání návrhu státního rozpočtu a státního závěrečného účtu.</w:t>
      </w:r>
    </w:p>
    <w:p w14:paraId="3F4B0269" w14:textId="77777777" w:rsidR="000568CC" w:rsidRPr="0071511A" w:rsidRDefault="000568CC" w:rsidP="000568CC">
      <w:pPr>
        <w:spacing w:after="0" w:line="276" w:lineRule="auto"/>
        <w:jc w:val="both"/>
        <w:rPr>
          <w:i/>
        </w:rPr>
      </w:pPr>
      <w:r w:rsidRPr="0071511A">
        <w:rPr>
          <w:i/>
        </w:rPr>
        <w:tab/>
        <w:t>(12) Nebude-li zdravotně pojistný plán zaměstnanecké pojišťovny schválen před 1. lednem příslušného kalendářního roku, řídí se činnost zaměstnanecké pojišťovny do schválení zdravotně pojistného plánu provizoriem stanoveným Ministerstvem zdravotnictví v dohodě s Ministerstvem financí. Základem pro stanovení provizoria je návrh zdravotně pojistného plá</w:t>
      </w:r>
      <w:r>
        <w:rPr>
          <w:i/>
        </w:rPr>
        <w:t>nu na příslušný kalendářní rok.</w:t>
      </w:r>
    </w:p>
    <w:p w14:paraId="3BA84472" w14:textId="77777777" w:rsidR="000568CC" w:rsidRPr="009B6586" w:rsidRDefault="000568CC" w:rsidP="000568CC">
      <w:pPr>
        <w:spacing w:after="0" w:line="276" w:lineRule="auto"/>
        <w:jc w:val="both"/>
        <w:rPr>
          <w:b/>
          <w:i/>
        </w:rPr>
      </w:pPr>
      <w:r w:rsidRPr="0071511A">
        <w:rPr>
          <w:i/>
        </w:rPr>
        <w:tab/>
      </w:r>
      <w:r w:rsidRPr="009B6586">
        <w:rPr>
          <w:b/>
          <w:i/>
        </w:rPr>
        <w:t>(13) Schválený zdravotně pojistný plán, nebo do schválení zdravotně pojistného plánu provizorium, výroční zprávu a účetní závěrku zaměstnanecká pojišťovna zveřejní na svých internetových stránkách.</w:t>
      </w:r>
    </w:p>
    <w:p w14:paraId="7EAED1B5" w14:textId="77777777" w:rsidR="000568CC" w:rsidRDefault="000568CC" w:rsidP="000568CC">
      <w:pPr>
        <w:spacing w:after="0" w:line="23" w:lineRule="atLeast"/>
        <w:jc w:val="both"/>
        <w:rPr>
          <w:i/>
        </w:rPr>
      </w:pPr>
      <w:r w:rsidRPr="0071511A">
        <w:rPr>
          <w:i/>
        </w:rPr>
        <w:tab/>
        <w:t>(14) Při uplatnění opatření podle zákona o pravidlech rozpočtové odpovědnosti může být zdravotně pojistný plán navržen podle odstavce 3 písm. b) jen v případě, že schodek bude možné uhradit nejvýše jednou třetinou finančních zůstatků zaměstnanecké pojišťovny z minulých let nebo návratnou finanční výpomocí.</w:t>
      </w:r>
    </w:p>
    <w:p w14:paraId="212346E7" w14:textId="2DAA709C" w:rsidR="00887B9E" w:rsidRDefault="00887B9E" w:rsidP="000568CC">
      <w:pPr>
        <w:spacing w:after="0" w:line="23" w:lineRule="atLeast"/>
        <w:jc w:val="both"/>
        <w:rPr>
          <w:i/>
        </w:rPr>
      </w:pPr>
      <w:r>
        <w:rPr>
          <w:i/>
        </w:rPr>
        <w:br w:type="page"/>
      </w:r>
    </w:p>
    <w:p w14:paraId="6163DA37" w14:textId="77777777" w:rsidR="00436F6E" w:rsidRPr="00AF37E6" w:rsidRDefault="00436F6E" w:rsidP="007327D1">
      <w:pPr>
        <w:pStyle w:val="Nadpis1"/>
      </w:pPr>
      <w:bookmarkStart w:id="81" w:name="_Toc169176588"/>
      <w:r>
        <w:t>Seznam grafů a tabulek</w:t>
      </w:r>
      <w:r w:rsidR="00111366">
        <w:t xml:space="preserve"> v tomto dokumentu</w:t>
      </w:r>
      <w:bookmarkEnd w:id="81"/>
    </w:p>
    <w:p w14:paraId="4EB76910" w14:textId="77777777" w:rsidR="00436F6E" w:rsidRDefault="00436F6E" w:rsidP="007327D1">
      <w:pPr>
        <w:pStyle w:val="Nadpis2"/>
      </w:pPr>
      <w:bookmarkStart w:id="82" w:name="_Toc169176589"/>
      <w:r>
        <w:t>Grafy</w:t>
      </w:r>
      <w:bookmarkEnd w:id="82"/>
    </w:p>
    <w:p w14:paraId="6186134C" w14:textId="37C51315" w:rsidR="00643D8F" w:rsidRDefault="000568CC">
      <w:pPr>
        <w:pStyle w:val="Seznamobrzk"/>
        <w:tabs>
          <w:tab w:val="right" w:leader="dot" w:pos="9628"/>
        </w:tabs>
        <w:rPr>
          <w:rFonts w:eastAsiaTheme="minorEastAsia"/>
          <w:noProof/>
          <w:sz w:val="22"/>
          <w:lang w:eastAsia="cs-CZ"/>
        </w:rPr>
      </w:pPr>
      <w:r>
        <w:fldChar w:fldCharType="begin"/>
      </w:r>
      <w:r>
        <w:instrText xml:space="preserve"> TOC \h \z \c "Graf" </w:instrText>
      </w:r>
      <w:r>
        <w:fldChar w:fldCharType="separate"/>
      </w:r>
      <w:hyperlink w:anchor="_Toc106884095" w:history="1">
        <w:r w:rsidR="00643D8F" w:rsidRPr="001E1C04">
          <w:rPr>
            <w:rStyle w:val="Hypertextovodkaz"/>
            <w:noProof/>
            <w:lang w:bidi="hi-IN"/>
          </w:rPr>
          <w:t>Graf č. 1: Struktura příjmů celkem za rok 202</w:t>
        </w:r>
        <w:r w:rsidR="00AF5F72">
          <w:rPr>
            <w:rStyle w:val="Hypertextovodkaz"/>
            <w:noProof/>
            <w:lang w:bidi="hi-IN"/>
          </w:rPr>
          <w:t>3</w:t>
        </w:r>
        <w:r w:rsidR="00643D8F">
          <w:rPr>
            <w:noProof/>
            <w:webHidden/>
          </w:rPr>
          <w:tab/>
        </w:r>
        <w:r w:rsidR="00643D8F">
          <w:rPr>
            <w:noProof/>
            <w:webHidden/>
          </w:rPr>
          <w:fldChar w:fldCharType="begin"/>
        </w:r>
        <w:r w:rsidR="00643D8F">
          <w:rPr>
            <w:noProof/>
            <w:webHidden/>
          </w:rPr>
          <w:instrText xml:space="preserve"> PAGEREF _Toc106884095 \h </w:instrText>
        </w:r>
        <w:r w:rsidR="00643D8F">
          <w:rPr>
            <w:noProof/>
            <w:webHidden/>
          </w:rPr>
        </w:r>
        <w:r w:rsidR="00643D8F">
          <w:rPr>
            <w:noProof/>
            <w:webHidden/>
          </w:rPr>
          <w:fldChar w:fldCharType="separate"/>
        </w:r>
        <w:r w:rsidR="00252624">
          <w:rPr>
            <w:noProof/>
            <w:webHidden/>
          </w:rPr>
          <w:t>6</w:t>
        </w:r>
        <w:r w:rsidR="00643D8F">
          <w:rPr>
            <w:noProof/>
            <w:webHidden/>
          </w:rPr>
          <w:fldChar w:fldCharType="end"/>
        </w:r>
      </w:hyperlink>
    </w:p>
    <w:p w14:paraId="6F9F474A" w14:textId="4A09A476" w:rsidR="00643D8F" w:rsidRDefault="00E364A2">
      <w:pPr>
        <w:pStyle w:val="Seznamobrzk"/>
        <w:tabs>
          <w:tab w:val="right" w:leader="dot" w:pos="9628"/>
        </w:tabs>
        <w:rPr>
          <w:rFonts w:eastAsiaTheme="minorEastAsia"/>
          <w:noProof/>
          <w:sz w:val="22"/>
          <w:lang w:eastAsia="cs-CZ"/>
        </w:rPr>
      </w:pPr>
      <w:hyperlink w:anchor="_Toc106884096" w:history="1">
        <w:r w:rsidR="00643D8F" w:rsidRPr="001E1C04">
          <w:rPr>
            <w:rStyle w:val="Hypertextovodkaz"/>
            <w:noProof/>
            <w:lang w:bidi="hi-IN"/>
          </w:rPr>
          <w:t>Graf č. 2: Porovnání celkových a skutečných výdajů 202</w:t>
        </w:r>
        <w:r w:rsidR="00AF5F72">
          <w:rPr>
            <w:rStyle w:val="Hypertextovodkaz"/>
            <w:noProof/>
            <w:lang w:bidi="hi-IN"/>
          </w:rPr>
          <w:t>3</w:t>
        </w:r>
        <w:r w:rsidR="00643D8F" w:rsidRPr="001E1C04">
          <w:rPr>
            <w:rStyle w:val="Hypertextovodkaz"/>
            <w:noProof/>
            <w:lang w:bidi="hi-IN"/>
          </w:rPr>
          <w:t xml:space="preserve"> a ZPP 202</w:t>
        </w:r>
        <w:r w:rsidR="00AF5F72">
          <w:rPr>
            <w:rStyle w:val="Hypertextovodkaz"/>
            <w:noProof/>
            <w:lang w:bidi="hi-IN"/>
          </w:rPr>
          <w:t>3</w:t>
        </w:r>
        <w:r w:rsidR="00643D8F">
          <w:rPr>
            <w:noProof/>
            <w:webHidden/>
          </w:rPr>
          <w:tab/>
        </w:r>
        <w:r w:rsidR="00643D8F">
          <w:rPr>
            <w:noProof/>
            <w:webHidden/>
          </w:rPr>
          <w:fldChar w:fldCharType="begin"/>
        </w:r>
        <w:r w:rsidR="00643D8F">
          <w:rPr>
            <w:noProof/>
            <w:webHidden/>
          </w:rPr>
          <w:instrText xml:space="preserve"> PAGEREF _Toc106884096 \h </w:instrText>
        </w:r>
        <w:r w:rsidR="00643D8F">
          <w:rPr>
            <w:noProof/>
            <w:webHidden/>
          </w:rPr>
        </w:r>
        <w:r w:rsidR="00643D8F">
          <w:rPr>
            <w:noProof/>
            <w:webHidden/>
          </w:rPr>
          <w:fldChar w:fldCharType="separate"/>
        </w:r>
        <w:r w:rsidR="00252624">
          <w:rPr>
            <w:noProof/>
            <w:webHidden/>
          </w:rPr>
          <w:t>9</w:t>
        </w:r>
        <w:r w:rsidR="00643D8F">
          <w:rPr>
            <w:noProof/>
            <w:webHidden/>
          </w:rPr>
          <w:fldChar w:fldCharType="end"/>
        </w:r>
      </w:hyperlink>
    </w:p>
    <w:p w14:paraId="4C7EC550" w14:textId="3CA17C05" w:rsidR="00643D8F" w:rsidRDefault="00E364A2">
      <w:pPr>
        <w:pStyle w:val="Seznamobrzk"/>
        <w:tabs>
          <w:tab w:val="right" w:leader="dot" w:pos="9628"/>
        </w:tabs>
        <w:rPr>
          <w:rFonts w:eastAsiaTheme="minorEastAsia"/>
          <w:noProof/>
          <w:sz w:val="22"/>
          <w:lang w:eastAsia="cs-CZ"/>
        </w:rPr>
      </w:pPr>
      <w:hyperlink w:anchor="_Toc106884097" w:history="1">
        <w:r w:rsidR="00643D8F" w:rsidRPr="001E1C04">
          <w:rPr>
            <w:rStyle w:val="Hypertextovodkaz"/>
            <w:noProof/>
            <w:lang w:bidi="hi-IN"/>
          </w:rPr>
          <w:t>Graf č. 3: Struktura výdajů celkem za rok 202</w:t>
        </w:r>
        <w:r w:rsidR="00AF5F72">
          <w:rPr>
            <w:rStyle w:val="Hypertextovodkaz"/>
            <w:noProof/>
            <w:lang w:bidi="hi-IN"/>
          </w:rPr>
          <w:t>3</w:t>
        </w:r>
        <w:r w:rsidR="00643D8F">
          <w:rPr>
            <w:noProof/>
            <w:webHidden/>
          </w:rPr>
          <w:tab/>
        </w:r>
        <w:r w:rsidR="00643D8F">
          <w:rPr>
            <w:noProof/>
            <w:webHidden/>
          </w:rPr>
          <w:fldChar w:fldCharType="begin"/>
        </w:r>
        <w:r w:rsidR="00643D8F">
          <w:rPr>
            <w:noProof/>
            <w:webHidden/>
          </w:rPr>
          <w:instrText xml:space="preserve"> PAGEREF _Toc106884097 \h </w:instrText>
        </w:r>
        <w:r w:rsidR="00643D8F">
          <w:rPr>
            <w:noProof/>
            <w:webHidden/>
          </w:rPr>
        </w:r>
        <w:r w:rsidR="00643D8F">
          <w:rPr>
            <w:noProof/>
            <w:webHidden/>
          </w:rPr>
          <w:fldChar w:fldCharType="separate"/>
        </w:r>
        <w:r w:rsidR="00252624">
          <w:rPr>
            <w:noProof/>
            <w:webHidden/>
          </w:rPr>
          <w:t>9</w:t>
        </w:r>
        <w:r w:rsidR="00643D8F">
          <w:rPr>
            <w:noProof/>
            <w:webHidden/>
          </w:rPr>
          <w:fldChar w:fldCharType="end"/>
        </w:r>
      </w:hyperlink>
    </w:p>
    <w:p w14:paraId="36646967" w14:textId="20966206" w:rsidR="00643D8F" w:rsidRDefault="00E364A2">
      <w:pPr>
        <w:pStyle w:val="Seznamobrzk"/>
        <w:tabs>
          <w:tab w:val="right" w:leader="dot" w:pos="9628"/>
        </w:tabs>
        <w:rPr>
          <w:rFonts w:eastAsiaTheme="minorEastAsia"/>
          <w:noProof/>
          <w:sz w:val="22"/>
          <w:lang w:eastAsia="cs-CZ"/>
        </w:rPr>
      </w:pPr>
      <w:hyperlink w:anchor="_Toc106884098" w:history="1">
        <w:r w:rsidR="00643D8F" w:rsidRPr="001E1C04">
          <w:rPr>
            <w:rStyle w:val="Hypertextovodkaz"/>
            <w:noProof/>
            <w:lang w:bidi="hi-IN"/>
          </w:rPr>
          <w:t>Graf č. 4: Saldo příjmů a výdajů celkem 202</w:t>
        </w:r>
        <w:r w:rsidR="009E7C03">
          <w:rPr>
            <w:rStyle w:val="Hypertextovodkaz"/>
            <w:noProof/>
            <w:lang w:bidi="hi-IN"/>
          </w:rPr>
          <w:t>3</w:t>
        </w:r>
        <w:r w:rsidR="00643D8F">
          <w:rPr>
            <w:noProof/>
            <w:webHidden/>
          </w:rPr>
          <w:tab/>
        </w:r>
        <w:r w:rsidR="00643D8F">
          <w:rPr>
            <w:noProof/>
            <w:webHidden/>
          </w:rPr>
          <w:fldChar w:fldCharType="begin"/>
        </w:r>
        <w:r w:rsidR="00643D8F">
          <w:rPr>
            <w:noProof/>
            <w:webHidden/>
          </w:rPr>
          <w:instrText xml:space="preserve"> PAGEREF _Toc106884098 \h </w:instrText>
        </w:r>
        <w:r w:rsidR="00643D8F">
          <w:rPr>
            <w:noProof/>
            <w:webHidden/>
          </w:rPr>
        </w:r>
        <w:r w:rsidR="00643D8F">
          <w:rPr>
            <w:noProof/>
            <w:webHidden/>
          </w:rPr>
          <w:fldChar w:fldCharType="separate"/>
        </w:r>
        <w:r w:rsidR="00252624">
          <w:rPr>
            <w:noProof/>
            <w:webHidden/>
          </w:rPr>
          <w:t>11</w:t>
        </w:r>
        <w:r w:rsidR="00643D8F">
          <w:rPr>
            <w:noProof/>
            <w:webHidden/>
          </w:rPr>
          <w:fldChar w:fldCharType="end"/>
        </w:r>
      </w:hyperlink>
    </w:p>
    <w:p w14:paraId="5138F20F" w14:textId="27B76258" w:rsidR="00643D8F" w:rsidRDefault="00E364A2">
      <w:pPr>
        <w:pStyle w:val="Seznamobrzk"/>
        <w:tabs>
          <w:tab w:val="right" w:leader="dot" w:pos="9628"/>
        </w:tabs>
        <w:rPr>
          <w:rFonts w:eastAsiaTheme="minorEastAsia"/>
          <w:noProof/>
          <w:sz w:val="22"/>
          <w:lang w:eastAsia="cs-CZ"/>
        </w:rPr>
      </w:pPr>
      <w:hyperlink w:anchor="_Toc106884100" w:history="1">
        <w:r w:rsidR="00643D8F" w:rsidRPr="001E1C04">
          <w:rPr>
            <w:rStyle w:val="Hypertextovodkaz"/>
            <w:noProof/>
            <w:lang w:bidi="hi-IN"/>
          </w:rPr>
          <w:t xml:space="preserve">Graf č. </w:t>
        </w:r>
        <w:r w:rsidR="009E7C03">
          <w:rPr>
            <w:rStyle w:val="Hypertextovodkaz"/>
            <w:noProof/>
            <w:lang w:bidi="hi-IN"/>
          </w:rPr>
          <w:t>5</w:t>
        </w:r>
        <w:r w:rsidR="00643D8F" w:rsidRPr="001E1C04">
          <w:rPr>
            <w:rStyle w:val="Hypertextovodkaz"/>
            <w:noProof/>
            <w:lang w:bidi="hi-IN"/>
          </w:rPr>
          <w:t>: Vývoj salda příjmů a výdajů systému veřejného zdravotního pojištění 2009–202</w:t>
        </w:r>
        <w:r w:rsidR="009E7C03">
          <w:rPr>
            <w:rStyle w:val="Hypertextovodkaz"/>
            <w:noProof/>
            <w:lang w:bidi="hi-IN"/>
          </w:rPr>
          <w:t>3</w:t>
        </w:r>
        <w:r w:rsidR="00643D8F">
          <w:rPr>
            <w:noProof/>
            <w:webHidden/>
          </w:rPr>
          <w:tab/>
        </w:r>
        <w:r w:rsidR="00643D8F">
          <w:rPr>
            <w:noProof/>
            <w:webHidden/>
          </w:rPr>
          <w:fldChar w:fldCharType="begin"/>
        </w:r>
        <w:r w:rsidR="00643D8F">
          <w:rPr>
            <w:noProof/>
            <w:webHidden/>
          </w:rPr>
          <w:instrText xml:space="preserve"> PAGEREF _Toc106884100 \h </w:instrText>
        </w:r>
        <w:r w:rsidR="00643D8F">
          <w:rPr>
            <w:noProof/>
            <w:webHidden/>
          </w:rPr>
        </w:r>
        <w:r w:rsidR="00643D8F">
          <w:rPr>
            <w:noProof/>
            <w:webHidden/>
          </w:rPr>
          <w:fldChar w:fldCharType="separate"/>
        </w:r>
        <w:r w:rsidR="00252624">
          <w:rPr>
            <w:noProof/>
            <w:webHidden/>
          </w:rPr>
          <w:t>11</w:t>
        </w:r>
        <w:r w:rsidR="00643D8F">
          <w:rPr>
            <w:noProof/>
            <w:webHidden/>
          </w:rPr>
          <w:fldChar w:fldCharType="end"/>
        </w:r>
      </w:hyperlink>
    </w:p>
    <w:p w14:paraId="10AAFF2C" w14:textId="67151E91" w:rsidR="00643D8F" w:rsidRDefault="00E364A2">
      <w:pPr>
        <w:pStyle w:val="Seznamobrzk"/>
        <w:tabs>
          <w:tab w:val="right" w:leader="dot" w:pos="9628"/>
        </w:tabs>
        <w:rPr>
          <w:rFonts w:eastAsiaTheme="minorEastAsia"/>
          <w:noProof/>
          <w:sz w:val="22"/>
          <w:lang w:eastAsia="cs-CZ"/>
        </w:rPr>
      </w:pPr>
      <w:hyperlink w:anchor="_Toc106884101" w:history="1">
        <w:r w:rsidR="00643D8F" w:rsidRPr="001E1C04">
          <w:rPr>
            <w:rStyle w:val="Hypertextovodkaz"/>
            <w:noProof/>
            <w:lang w:bidi="hi-IN"/>
          </w:rPr>
          <w:t xml:space="preserve">Graf č. </w:t>
        </w:r>
        <w:r w:rsidR="009E7C03">
          <w:rPr>
            <w:rStyle w:val="Hypertextovodkaz"/>
            <w:noProof/>
            <w:lang w:bidi="hi-IN"/>
          </w:rPr>
          <w:t>6</w:t>
        </w:r>
        <w:r w:rsidR="00643D8F" w:rsidRPr="001E1C04">
          <w:rPr>
            <w:rStyle w:val="Hypertextovodkaz"/>
            <w:noProof/>
            <w:lang w:bidi="hi-IN"/>
          </w:rPr>
          <w:t>: Finanční zásoba na BÚ ZFZP v roce 202</w:t>
        </w:r>
        <w:r w:rsidR="009E7C03">
          <w:rPr>
            <w:rStyle w:val="Hypertextovodkaz"/>
            <w:noProof/>
            <w:lang w:bidi="hi-IN"/>
          </w:rPr>
          <w:t>3</w:t>
        </w:r>
        <w:r w:rsidR="00643D8F" w:rsidRPr="001E1C04">
          <w:rPr>
            <w:rStyle w:val="Hypertextovodkaz"/>
            <w:noProof/>
            <w:lang w:bidi="hi-IN"/>
          </w:rPr>
          <w:t xml:space="preserve"> v denním ekvivalentu plateb</w:t>
        </w:r>
        <w:r w:rsidR="00643D8F">
          <w:rPr>
            <w:noProof/>
            <w:webHidden/>
          </w:rPr>
          <w:tab/>
        </w:r>
        <w:r w:rsidR="00643D8F">
          <w:rPr>
            <w:noProof/>
            <w:webHidden/>
          </w:rPr>
          <w:fldChar w:fldCharType="begin"/>
        </w:r>
        <w:r w:rsidR="00643D8F">
          <w:rPr>
            <w:noProof/>
            <w:webHidden/>
          </w:rPr>
          <w:instrText xml:space="preserve"> PAGEREF _Toc106884101 \h </w:instrText>
        </w:r>
        <w:r w:rsidR="00643D8F">
          <w:rPr>
            <w:noProof/>
            <w:webHidden/>
          </w:rPr>
        </w:r>
        <w:r w:rsidR="00643D8F">
          <w:rPr>
            <w:noProof/>
            <w:webHidden/>
          </w:rPr>
          <w:fldChar w:fldCharType="separate"/>
        </w:r>
        <w:r w:rsidR="00252624">
          <w:rPr>
            <w:noProof/>
            <w:webHidden/>
          </w:rPr>
          <w:t>13</w:t>
        </w:r>
        <w:r w:rsidR="00643D8F">
          <w:rPr>
            <w:noProof/>
            <w:webHidden/>
          </w:rPr>
          <w:fldChar w:fldCharType="end"/>
        </w:r>
      </w:hyperlink>
    </w:p>
    <w:p w14:paraId="0B0BE6AC" w14:textId="6A1F96FB" w:rsidR="00643D8F" w:rsidRDefault="00E364A2">
      <w:pPr>
        <w:pStyle w:val="Seznamobrzk"/>
        <w:tabs>
          <w:tab w:val="right" w:leader="dot" w:pos="9628"/>
        </w:tabs>
        <w:rPr>
          <w:rFonts w:eastAsiaTheme="minorEastAsia"/>
          <w:noProof/>
          <w:sz w:val="22"/>
          <w:lang w:eastAsia="cs-CZ"/>
        </w:rPr>
      </w:pPr>
      <w:hyperlink w:anchor="_Toc106884102" w:history="1">
        <w:r w:rsidR="00643D8F" w:rsidRPr="001E1C04">
          <w:rPr>
            <w:rStyle w:val="Hypertextovodkaz"/>
            <w:noProof/>
            <w:lang w:bidi="hi-IN"/>
          </w:rPr>
          <w:t xml:space="preserve">Graf č. </w:t>
        </w:r>
        <w:r w:rsidR="009E7C03">
          <w:rPr>
            <w:rStyle w:val="Hypertextovodkaz"/>
            <w:noProof/>
            <w:lang w:bidi="hi-IN"/>
          </w:rPr>
          <w:t>7</w:t>
        </w:r>
        <w:r w:rsidR="00643D8F" w:rsidRPr="001E1C04">
          <w:rPr>
            <w:rStyle w:val="Hypertextovodkaz"/>
            <w:noProof/>
            <w:lang w:bidi="hi-IN"/>
          </w:rPr>
          <w:t>: Stav peněžních prostředků na BÚ jednotlivých ZP k 31. 12. 202</w:t>
        </w:r>
        <w:r w:rsidR="009E7C03">
          <w:rPr>
            <w:rStyle w:val="Hypertextovodkaz"/>
            <w:noProof/>
            <w:lang w:bidi="hi-IN"/>
          </w:rPr>
          <w:t>3</w:t>
        </w:r>
        <w:r w:rsidR="00643D8F">
          <w:rPr>
            <w:noProof/>
            <w:webHidden/>
          </w:rPr>
          <w:tab/>
        </w:r>
        <w:r w:rsidR="00643D8F">
          <w:rPr>
            <w:noProof/>
            <w:webHidden/>
          </w:rPr>
          <w:fldChar w:fldCharType="begin"/>
        </w:r>
        <w:r w:rsidR="00643D8F">
          <w:rPr>
            <w:noProof/>
            <w:webHidden/>
          </w:rPr>
          <w:instrText xml:space="preserve"> PAGEREF _Toc106884102 \h </w:instrText>
        </w:r>
        <w:r w:rsidR="00643D8F">
          <w:rPr>
            <w:noProof/>
            <w:webHidden/>
          </w:rPr>
        </w:r>
        <w:r w:rsidR="00643D8F">
          <w:rPr>
            <w:noProof/>
            <w:webHidden/>
          </w:rPr>
          <w:fldChar w:fldCharType="separate"/>
        </w:r>
        <w:r w:rsidR="00252624">
          <w:rPr>
            <w:noProof/>
            <w:webHidden/>
          </w:rPr>
          <w:t>14</w:t>
        </w:r>
        <w:r w:rsidR="00643D8F">
          <w:rPr>
            <w:noProof/>
            <w:webHidden/>
          </w:rPr>
          <w:fldChar w:fldCharType="end"/>
        </w:r>
      </w:hyperlink>
    </w:p>
    <w:p w14:paraId="629D03FD" w14:textId="613E6E3F" w:rsidR="00643D8F" w:rsidRDefault="00E364A2">
      <w:pPr>
        <w:pStyle w:val="Seznamobrzk"/>
        <w:tabs>
          <w:tab w:val="right" w:leader="dot" w:pos="9628"/>
        </w:tabs>
        <w:rPr>
          <w:rFonts w:eastAsiaTheme="minorEastAsia"/>
          <w:noProof/>
          <w:sz w:val="22"/>
          <w:lang w:eastAsia="cs-CZ"/>
        </w:rPr>
      </w:pPr>
      <w:hyperlink w:anchor="_Toc106884103" w:history="1">
        <w:r w:rsidR="00643D8F" w:rsidRPr="001E1C04">
          <w:rPr>
            <w:rStyle w:val="Hypertextovodkaz"/>
            <w:noProof/>
            <w:lang w:bidi="hi-IN"/>
          </w:rPr>
          <w:t xml:space="preserve">Graf č. </w:t>
        </w:r>
        <w:r w:rsidR="009E7C03">
          <w:rPr>
            <w:rStyle w:val="Hypertextovodkaz"/>
            <w:noProof/>
            <w:lang w:bidi="hi-IN"/>
          </w:rPr>
          <w:t>8</w:t>
        </w:r>
        <w:r w:rsidR="00643D8F" w:rsidRPr="001E1C04">
          <w:rPr>
            <w:rStyle w:val="Hypertextovodkaz"/>
            <w:noProof/>
            <w:lang w:bidi="hi-IN"/>
          </w:rPr>
          <w:t>: Rozložení peněžních prostředků na BÚ mezi jednotlivými ZP k 31. 12. 202</w:t>
        </w:r>
        <w:r w:rsidR="009E7C03">
          <w:rPr>
            <w:rStyle w:val="Hypertextovodkaz"/>
            <w:noProof/>
            <w:lang w:bidi="hi-IN"/>
          </w:rPr>
          <w:t>3</w:t>
        </w:r>
        <w:r w:rsidR="00643D8F">
          <w:rPr>
            <w:noProof/>
            <w:webHidden/>
          </w:rPr>
          <w:tab/>
        </w:r>
        <w:r w:rsidR="00643D8F">
          <w:rPr>
            <w:noProof/>
            <w:webHidden/>
          </w:rPr>
          <w:fldChar w:fldCharType="begin"/>
        </w:r>
        <w:r w:rsidR="00643D8F">
          <w:rPr>
            <w:noProof/>
            <w:webHidden/>
          </w:rPr>
          <w:instrText xml:space="preserve"> PAGEREF _Toc106884103 \h </w:instrText>
        </w:r>
        <w:r w:rsidR="00643D8F">
          <w:rPr>
            <w:noProof/>
            <w:webHidden/>
          </w:rPr>
        </w:r>
        <w:r w:rsidR="00643D8F">
          <w:rPr>
            <w:noProof/>
            <w:webHidden/>
          </w:rPr>
          <w:fldChar w:fldCharType="separate"/>
        </w:r>
        <w:r w:rsidR="00252624">
          <w:rPr>
            <w:noProof/>
            <w:webHidden/>
          </w:rPr>
          <w:t>15</w:t>
        </w:r>
        <w:r w:rsidR="00643D8F">
          <w:rPr>
            <w:noProof/>
            <w:webHidden/>
          </w:rPr>
          <w:fldChar w:fldCharType="end"/>
        </w:r>
      </w:hyperlink>
    </w:p>
    <w:p w14:paraId="3CAEE0E5" w14:textId="7669307C" w:rsidR="00643D8F" w:rsidRDefault="00E364A2">
      <w:pPr>
        <w:pStyle w:val="Seznamobrzk"/>
        <w:tabs>
          <w:tab w:val="right" w:leader="dot" w:pos="9628"/>
        </w:tabs>
        <w:rPr>
          <w:rFonts w:eastAsiaTheme="minorEastAsia"/>
          <w:noProof/>
          <w:sz w:val="22"/>
          <w:lang w:eastAsia="cs-CZ"/>
        </w:rPr>
      </w:pPr>
      <w:hyperlink w:anchor="_Toc106884104" w:history="1">
        <w:r w:rsidR="00643D8F" w:rsidRPr="001E1C04">
          <w:rPr>
            <w:rStyle w:val="Hypertextovodkaz"/>
            <w:noProof/>
            <w:lang w:bidi="hi-IN"/>
          </w:rPr>
          <w:t xml:space="preserve">Graf č. </w:t>
        </w:r>
        <w:r w:rsidR="009E7C03">
          <w:rPr>
            <w:rStyle w:val="Hypertextovodkaz"/>
            <w:noProof/>
            <w:lang w:bidi="hi-IN"/>
          </w:rPr>
          <w:t>9</w:t>
        </w:r>
        <w:r w:rsidR="00643D8F" w:rsidRPr="001E1C04">
          <w:rPr>
            <w:rStyle w:val="Hypertextovodkaz"/>
            <w:noProof/>
            <w:lang w:bidi="hi-IN"/>
          </w:rPr>
          <w:t>: Vývoj zůstatků ZP a růstu HDP</w:t>
        </w:r>
        <w:r w:rsidR="00643D8F">
          <w:rPr>
            <w:noProof/>
            <w:webHidden/>
          </w:rPr>
          <w:tab/>
        </w:r>
        <w:r w:rsidR="00643D8F">
          <w:rPr>
            <w:noProof/>
            <w:webHidden/>
          </w:rPr>
          <w:fldChar w:fldCharType="begin"/>
        </w:r>
        <w:r w:rsidR="00643D8F">
          <w:rPr>
            <w:noProof/>
            <w:webHidden/>
          </w:rPr>
          <w:instrText xml:space="preserve"> PAGEREF _Toc106884104 \h </w:instrText>
        </w:r>
        <w:r w:rsidR="00643D8F">
          <w:rPr>
            <w:noProof/>
            <w:webHidden/>
          </w:rPr>
        </w:r>
        <w:r w:rsidR="00643D8F">
          <w:rPr>
            <w:noProof/>
            <w:webHidden/>
          </w:rPr>
          <w:fldChar w:fldCharType="separate"/>
        </w:r>
        <w:r w:rsidR="00252624">
          <w:rPr>
            <w:noProof/>
            <w:webHidden/>
          </w:rPr>
          <w:t>15</w:t>
        </w:r>
        <w:r w:rsidR="00643D8F">
          <w:rPr>
            <w:noProof/>
            <w:webHidden/>
          </w:rPr>
          <w:fldChar w:fldCharType="end"/>
        </w:r>
      </w:hyperlink>
    </w:p>
    <w:p w14:paraId="1BF67ED2" w14:textId="323813F2" w:rsidR="00643D8F" w:rsidRDefault="00E364A2">
      <w:pPr>
        <w:pStyle w:val="Seznamobrzk"/>
        <w:tabs>
          <w:tab w:val="right" w:leader="dot" w:pos="9628"/>
        </w:tabs>
        <w:rPr>
          <w:rFonts w:eastAsiaTheme="minorEastAsia"/>
          <w:noProof/>
          <w:sz w:val="22"/>
          <w:lang w:eastAsia="cs-CZ"/>
        </w:rPr>
      </w:pPr>
      <w:hyperlink w:anchor="_Toc106884105" w:history="1">
        <w:r w:rsidR="00643D8F" w:rsidRPr="001E1C04">
          <w:rPr>
            <w:rStyle w:val="Hypertextovodkaz"/>
            <w:noProof/>
            <w:lang w:bidi="hi-IN"/>
          </w:rPr>
          <w:t>Graf č. 1</w:t>
        </w:r>
        <w:r w:rsidR="009E7C03">
          <w:rPr>
            <w:rStyle w:val="Hypertextovodkaz"/>
            <w:noProof/>
            <w:lang w:bidi="hi-IN"/>
          </w:rPr>
          <w:t>0</w:t>
        </w:r>
        <w:r w:rsidR="00643D8F" w:rsidRPr="001E1C04">
          <w:rPr>
            <w:rStyle w:val="Hypertextovodkaz"/>
            <w:noProof/>
            <w:lang w:bidi="hi-IN"/>
          </w:rPr>
          <w:t>: Počet pojištěnců na 1 zaměstnance</w:t>
        </w:r>
        <w:r w:rsidR="009E7C03">
          <w:rPr>
            <w:rStyle w:val="Hypertextovodkaz"/>
            <w:noProof/>
            <w:lang w:bidi="hi-IN"/>
          </w:rPr>
          <w:t xml:space="preserve"> v roce 2023</w:t>
        </w:r>
        <w:r w:rsidR="00643D8F">
          <w:rPr>
            <w:noProof/>
            <w:webHidden/>
          </w:rPr>
          <w:tab/>
        </w:r>
        <w:r w:rsidR="00643D8F">
          <w:rPr>
            <w:noProof/>
            <w:webHidden/>
          </w:rPr>
          <w:fldChar w:fldCharType="begin"/>
        </w:r>
        <w:r w:rsidR="00643D8F">
          <w:rPr>
            <w:noProof/>
            <w:webHidden/>
          </w:rPr>
          <w:instrText xml:space="preserve"> PAGEREF _Toc106884105 \h </w:instrText>
        </w:r>
        <w:r w:rsidR="00643D8F">
          <w:rPr>
            <w:noProof/>
            <w:webHidden/>
          </w:rPr>
        </w:r>
        <w:r w:rsidR="00643D8F">
          <w:rPr>
            <w:noProof/>
            <w:webHidden/>
          </w:rPr>
          <w:fldChar w:fldCharType="separate"/>
        </w:r>
        <w:r w:rsidR="00252624">
          <w:rPr>
            <w:noProof/>
            <w:webHidden/>
          </w:rPr>
          <w:t>16</w:t>
        </w:r>
        <w:r w:rsidR="00643D8F">
          <w:rPr>
            <w:noProof/>
            <w:webHidden/>
          </w:rPr>
          <w:fldChar w:fldCharType="end"/>
        </w:r>
      </w:hyperlink>
    </w:p>
    <w:p w14:paraId="7B2F31F9" w14:textId="4118346C" w:rsidR="00643D8F" w:rsidRDefault="00E364A2">
      <w:pPr>
        <w:pStyle w:val="Seznamobrzk"/>
        <w:tabs>
          <w:tab w:val="right" w:leader="dot" w:pos="9628"/>
        </w:tabs>
        <w:rPr>
          <w:rFonts w:eastAsiaTheme="minorEastAsia"/>
          <w:noProof/>
          <w:sz w:val="22"/>
          <w:lang w:eastAsia="cs-CZ"/>
        </w:rPr>
      </w:pPr>
      <w:hyperlink w:anchor="_Toc106884107" w:history="1">
        <w:r w:rsidR="00643D8F" w:rsidRPr="001E1C04">
          <w:rPr>
            <w:rStyle w:val="Hypertextovodkaz"/>
            <w:noProof/>
            <w:lang w:bidi="hi-IN"/>
          </w:rPr>
          <w:t>Graf č. 1</w:t>
        </w:r>
        <w:r w:rsidR="007B6A7D">
          <w:rPr>
            <w:rStyle w:val="Hypertextovodkaz"/>
            <w:noProof/>
            <w:lang w:bidi="hi-IN"/>
          </w:rPr>
          <w:t>1</w:t>
        </w:r>
        <w:r w:rsidR="00643D8F" w:rsidRPr="001E1C04">
          <w:rPr>
            <w:rStyle w:val="Hypertextovodkaz"/>
            <w:noProof/>
            <w:lang w:bidi="hi-IN"/>
          </w:rPr>
          <w:t>: Celkové náklady na zdravotní služby ze ZFZP</w:t>
        </w:r>
        <w:r w:rsidR="00643D8F">
          <w:rPr>
            <w:noProof/>
            <w:webHidden/>
          </w:rPr>
          <w:tab/>
        </w:r>
        <w:r w:rsidR="00643D8F">
          <w:rPr>
            <w:noProof/>
            <w:webHidden/>
          </w:rPr>
          <w:fldChar w:fldCharType="begin"/>
        </w:r>
        <w:r w:rsidR="00643D8F">
          <w:rPr>
            <w:noProof/>
            <w:webHidden/>
          </w:rPr>
          <w:instrText xml:space="preserve"> PAGEREF _Toc106884107 \h </w:instrText>
        </w:r>
        <w:r w:rsidR="00643D8F">
          <w:rPr>
            <w:noProof/>
            <w:webHidden/>
          </w:rPr>
        </w:r>
        <w:r w:rsidR="00643D8F">
          <w:rPr>
            <w:noProof/>
            <w:webHidden/>
          </w:rPr>
          <w:fldChar w:fldCharType="separate"/>
        </w:r>
        <w:r w:rsidR="00252624">
          <w:rPr>
            <w:noProof/>
            <w:webHidden/>
          </w:rPr>
          <w:t>21</w:t>
        </w:r>
        <w:r w:rsidR="00643D8F">
          <w:rPr>
            <w:noProof/>
            <w:webHidden/>
          </w:rPr>
          <w:fldChar w:fldCharType="end"/>
        </w:r>
      </w:hyperlink>
    </w:p>
    <w:p w14:paraId="5C9D21B4" w14:textId="115A1214" w:rsidR="00643D8F" w:rsidRDefault="00E364A2">
      <w:pPr>
        <w:pStyle w:val="Seznamobrzk"/>
        <w:tabs>
          <w:tab w:val="right" w:leader="dot" w:pos="9628"/>
        </w:tabs>
        <w:rPr>
          <w:rFonts w:eastAsiaTheme="minorEastAsia"/>
          <w:noProof/>
          <w:sz w:val="22"/>
          <w:lang w:eastAsia="cs-CZ"/>
        </w:rPr>
      </w:pPr>
      <w:hyperlink w:anchor="_Toc106884108" w:history="1">
        <w:r w:rsidR="00643D8F" w:rsidRPr="001E1C04">
          <w:rPr>
            <w:rStyle w:val="Hypertextovodkaz"/>
            <w:noProof/>
            <w:lang w:bidi="hi-IN"/>
          </w:rPr>
          <w:t>Graf č. 1</w:t>
        </w:r>
        <w:r w:rsidR="007B6A7D">
          <w:rPr>
            <w:rStyle w:val="Hypertextovodkaz"/>
            <w:noProof/>
            <w:lang w:bidi="hi-IN"/>
          </w:rPr>
          <w:t>2</w:t>
        </w:r>
        <w:r w:rsidR="00643D8F" w:rsidRPr="001E1C04">
          <w:rPr>
            <w:rStyle w:val="Hypertextovodkaz"/>
            <w:noProof/>
            <w:lang w:bidi="hi-IN"/>
          </w:rPr>
          <w:t>: Náklady na zdravotní služby ze ZFZP podle segmentů</w:t>
        </w:r>
        <w:r w:rsidR="00643D8F">
          <w:rPr>
            <w:noProof/>
            <w:webHidden/>
          </w:rPr>
          <w:tab/>
        </w:r>
        <w:r w:rsidR="00643D8F">
          <w:rPr>
            <w:noProof/>
            <w:webHidden/>
          </w:rPr>
          <w:fldChar w:fldCharType="begin"/>
        </w:r>
        <w:r w:rsidR="00643D8F">
          <w:rPr>
            <w:noProof/>
            <w:webHidden/>
          </w:rPr>
          <w:instrText xml:space="preserve"> PAGEREF _Toc106884108 \h </w:instrText>
        </w:r>
        <w:r w:rsidR="00643D8F">
          <w:rPr>
            <w:noProof/>
            <w:webHidden/>
          </w:rPr>
        </w:r>
        <w:r w:rsidR="00643D8F">
          <w:rPr>
            <w:noProof/>
            <w:webHidden/>
          </w:rPr>
          <w:fldChar w:fldCharType="separate"/>
        </w:r>
        <w:r w:rsidR="00252624">
          <w:rPr>
            <w:noProof/>
            <w:webHidden/>
          </w:rPr>
          <w:t>21</w:t>
        </w:r>
        <w:r w:rsidR="00643D8F">
          <w:rPr>
            <w:noProof/>
            <w:webHidden/>
          </w:rPr>
          <w:fldChar w:fldCharType="end"/>
        </w:r>
      </w:hyperlink>
    </w:p>
    <w:p w14:paraId="1322E729" w14:textId="7558F143" w:rsidR="00643D8F" w:rsidRDefault="00E364A2">
      <w:pPr>
        <w:pStyle w:val="Seznamobrzk"/>
        <w:tabs>
          <w:tab w:val="right" w:leader="dot" w:pos="9628"/>
        </w:tabs>
        <w:rPr>
          <w:rFonts w:eastAsiaTheme="minorEastAsia"/>
          <w:noProof/>
          <w:sz w:val="22"/>
          <w:lang w:eastAsia="cs-CZ"/>
        </w:rPr>
      </w:pPr>
      <w:hyperlink w:anchor="_Toc106884109" w:history="1">
        <w:r w:rsidR="00643D8F" w:rsidRPr="001E1C04">
          <w:rPr>
            <w:rStyle w:val="Hypertextovodkaz"/>
            <w:noProof/>
            <w:lang w:bidi="hi-IN"/>
          </w:rPr>
          <w:t>Graf č. 1</w:t>
        </w:r>
        <w:r w:rsidR="007B6A7D">
          <w:rPr>
            <w:rStyle w:val="Hypertextovodkaz"/>
            <w:noProof/>
            <w:lang w:bidi="hi-IN"/>
          </w:rPr>
          <w:t>3</w:t>
        </w:r>
        <w:r w:rsidR="00643D8F" w:rsidRPr="001E1C04">
          <w:rPr>
            <w:rStyle w:val="Hypertextovodkaz"/>
            <w:noProof/>
            <w:lang w:bidi="hi-IN"/>
          </w:rPr>
          <w:t>: Celkové náklady na zdravotní služby ze ZFZP v přepočtu na pojištěnce</w:t>
        </w:r>
        <w:r w:rsidR="00643D8F">
          <w:rPr>
            <w:noProof/>
            <w:webHidden/>
          </w:rPr>
          <w:tab/>
        </w:r>
        <w:r w:rsidR="00643D8F">
          <w:rPr>
            <w:noProof/>
            <w:webHidden/>
          </w:rPr>
          <w:fldChar w:fldCharType="begin"/>
        </w:r>
        <w:r w:rsidR="00643D8F">
          <w:rPr>
            <w:noProof/>
            <w:webHidden/>
          </w:rPr>
          <w:instrText xml:space="preserve"> PAGEREF _Toc106884109 \h </w:instrText>
        </w:r>
        <w:r w:rsidR="00643D8F">
          <w:rPr>
            <w:noProof/>
            <w:webHidden/>
          </w:rPr>
        </w:r>
        <w:r w:rsidR="00643D8F">
          <w:rPr>
            <w:noProof/>
            <w:webHidden/>
          </w:rPr>
          <w:fldChar w:fldCharType="separate"/>
        </w:r>
        <w:r w:rsidR="00252624">
          <w:rPr>
            <w:noProof/>
            <w:webHidden/>
          </w:rPr>
          <w:t>23</w:t>
        </w:r>
        <w:r w:rsidR="00643D8F">
          <w:rPr>
            <w:noProof/>
            <w:webHidden/>
          </w:rPr>
          <w:fldChar w:fldCharType="end"/>
        </w:r>
      </w:hyperlink>
    </w:p>
    <w:p w14:paraId="3D0AD188" w14:textId="0A5AB569" w:rsidR="00643D8F" w:rsidRDefault="00E364A2">
      <w:pPr>
        <w:pStyle w:val="Seznamobrzk"/>
        <w:tabs>
          <w:tab w:val="right" w:leader="dot" w:pos="9628"/>
        </w:tabs>
        <w:rPr>
          <w:rFonts w:eastAsiaTheme="minorEastAsia"/>
          <w:noProof/>
          <w:sz w:val="22"/>
          <w:lang w:eastAsia="cs-CZ"/>
        </w:rPr>
      </w:pPr>
      <w:hyperlink w:anchor="_Toc106884110" w:history="1">
        <w:r w:rsidR="00643D8F" w:rsidRPr="001E1C04">
          <w:rPr>
            <w:rStyle w:val="Hypertextovodkaz"/>
            <w:noProof/>
            <w:lang w:bidi="hi-IN"/>
          </w:rPr>
          <w:t>Graf č. 1</w:t>
        </w:r>
        <w:r w:rsidR="007B6A7D">
          <w:rPr>
            <w:rStyle w:val="Hypertextovodkaz"/>
            <w:noProof/>
            <w:lang w:bidi="hi-IN"/>
          </w:rPr>
          <w:t>4</w:t>
        </w:r>
        <w:r w:rsidR="00643D8F" w:rsidRPr="001E1C04">
          <w:rPr>
            <w:rStyle w:val="Hypertextovodkaz"/>
            <w:noProof/>
            <w:lang w:bidi="hi-IN"/>
          </w:rPr>
          <w:t>: Náklady na zdravotní služby ze ZFZP podle segmentů v přepočtu na pojištěnce</w:t>
        </w:r>
        <w:r w:rsidR="00643D8F">
          <w:rPr>
            <w:noProof/>
            <w:webHidden/>
          </w:rPr>
          <w:tab/>
        </w:r>
        <w:r w:rsidR="00643D8F">
          <w:rPr>
            <w:noProof/>
            <w:webHidden/>
          </w:rPr>
          <w:fldChar w:fldCharType="begin"/>
        </w:r>
        <w:r w:rsidR="00643D8F">
          <w:rPr>
            <w:noProof/>
            <w:webHidden/>
          </w:rPr>
          <w:instrText xml:space="preserve"> PAGEREF _Toc106884110 \h </w:instrText>
        </w:r>
        <w:r w:rsidR="00643D8F">
          <w:rPr>
            <w:noProof/>
            <w:webHidden/>
          </w:rPr>
        </w:r>
        <w:r w:rsidR="00643D8F">
          <w:rPr>
            <w:noProof/>
            <w:webHidden/>
          </w:rPr>
          <w:fldChar w:fldCharType="separate"/>
        </w:r>
        <w:r w:rsidR="00252624">
          <w:rPr>
            <w:noProof/>
            <w:webHidden/>
          </w:rPr>
          <w:t>23</w:t>
        </w:r>
        <w:r w:rsidR="00643D8F">
          <w:rPr>
            <w:noProof/>
            <w:webHidden/>
          </w:rPr>
          <w:fldChar w:fldCharType="end"/>
        </w:r>
      </w:hyperlink>
    </w:p>
    <w:p w14:paraId="7D7B77B3" w14:textId="5F7D35CE" w:rsidR="000568CC" w:rsidRPr="00E0416F" w:rsidRDefault="000568CC" w:rsidP="000568CC">
      <w:pPr>
        <w:spacing w:after="0"/>
        <w:rPr>
          <w:sz w:val="12"/>
          <w:szCs w:val="12"/>
        </w:rPr>
      </w:pPr>
      <w:r>
        <w:fldChar w:fldCharType="end"/>
      </w:r>
    </w:p>
    <w:p w14:paraId="04ABFE59" w14:textId="77777777" w:rsidR="000568CC" w:rsidRDefault="000568CC" w:rsidP="007327D1">
      <w:pPr>
        <w:pStyle w:val="Nadpis2"/>
        <w:numPr>
          <w:ilvl w:val="1"/>
          <w:numId w:val="4"/>
        </w:numPr>
      </w:pPr>
      <w:bookmarkStart w:id="83" w:name="_Toc72151525"/>
      <w:bookmarkStart w:id="84" w:name="_Toc169176590"/>
      <w:r>
        <w:t>Tabulky</w:t>
      </w:r>
      <w:bookmarkEnd w:id="83"/>
      <w:bookmarkEnd w:id="84"/>
    </w:p>
    <w:p w14:paraId="74F0DDFC" w14:textId="47BBA16B" w:rsidR="00831A3A" w:rsidRDefault="000568CC">
      <w:pPr>
        <w:pStyle w:val="Seznamobrzk"/>
        <w:tabs>
          <w:tab w:val="right" w:leader="dot" w:pos="9628"/>
        </w:tabs>
        <w:rPr>
          <w:rFonts w:eastAsiaTheme="minorEastAsia"/>
          <w:noProof/>
          <w:kern w:val="2"/>
          <w:sz w:val="22"/>
          <w:lang w:eastAsia="cs-CZ"/>
          <w14:ligatures w14:val="standardContextual"/>
        </w:rPr>
      </w:pPr>
      <w:r>
        <w:fldChar w:fldCharType="begin"/>
      </w:r>
      <w:r>
        <w:instrText xml:space="preserve"> TOC \h \z \c "Tabulka" </w:instrText>
      </w:r>
      <w:r>
        <w:fldChar w:fldCharType="separate"/>
      </w:r>
      <w:hyperlink w:anchor="_Toc168993226" w:history="1">
        <w:r w:rsidR="00831A3A" w:rsidRPr="009A5393">
          <w:rPr>
            <w:rStyle w:val="Hypertextovodkaz"/>
            <w:noProof/>
            <w:lang w:bidi="hi-IN"/>
          </w:rPr>
          <w:t>Tabulka č. 1: Příjmy systému v. z. p. za rok 2023</w:t>
        </w:r>
        <w:r w:rsidR="00831A3A">
          <w:rPr>
            <w:noProof/>
            <w:webHidden/>
          </w:rPr>
          <w:tab/>
        </w:r>
        <w:r w:rsidR="00831A3A">
          <w:rPr>
            <w:noProof/>
            <w:webHidden/>
          </w:rPr>
          <w:fldChar w:fldCharType="begin"/>
        </w:r>
        <w:r w:rsidR="00831A3A">
          <w:rPr>
            <w:noProof/>
            <w:webHidden/>
          </w:rPr>
          <w:instrText xml:space="preserve"> PAGEREF _Toc168993226 \h </w:instrText>
        </w:r>
        <w:r w:rsidR="00831A3A">
          <w:rPr>
            <w:noProof/>
            <w:webHidden/>
          </w:rPr>
        </w:r>
        <w:r w:rsidR="00831A3A">
          <w:rPr>
            <w:noProof/>
            <w:webHidden/>
          </w:rPr>
          <w:fldChar w:fldCharType="separate"/>
        </w:r>
        <w:r w:rsidR="00252624">
          <w:rPr>
            <w:noProof/>
            <w:webHidden/>
          </w:rPr>
          <w:t>5</w:t>
        </w:r>
        <w:r w:rsidR="00831A3A">
          <w:rPr>
            <w:noProof/>
            <w:webHidden/>
          </w:rPr>
          <w:fldChar w:fldCharType="end"/>
        </w:r>
      </w:hyperlink>
    </w:p>
    <w:p w14:paraId="57810B53" w14:textId="1F2253E4"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27" w:history="1">
        <w:r w:rsidR="00831A3A" w:rsidRPr="009A5393">
          <w:rPr>
            <w:rStyle w:val="Hypertextovodkaz"/>
            <w:noProof/>
          </w:rPr>
          <w:t>Tabulka č. 2: Příjmy systému v. z. p. 2023 dle zdravotních pojišťoven</w:t>
        </w:r>
        <w:r w:rsidR="00831A3A">
          <w:rPr>
            <w:noProof/>
            <w:webHidden/>
          </w:rPr>
          <w:tab/>
        </w:r>
        <w:r w:rsidR="00831A3A">
          <w:rPr>
            <w:noProof/>
            <w:webHidden/>
          </w:rPr>
          <w:fldChar w:fldCharType="begin"/>
        </w:r>
        <w:r w:rsidR="00831A3A">
          <w:rPr>
            <w:noProof/>
            <w:webHidden/>
          </w:rPr>
          <w:instrText xml:space="preserve"> PAGEREF _Toc168993227 \h </w:instrText>
        </w:r>
        <w:r w:rsidR="00831A3A">
          <w:rPr>
            <w:noProof/>
            <w:webHidden/>
          </w:rPr>
        </w:r>
        <w:r w:rsidR="00831A3A">
          <w:rPr>
            <w:noProof/>
            <w:webHidden/>
          </w:rPr>
          <w:fldChar w:fldCharType="separate"/>
        </w:r>
        <w:r w:rsidR="00252624">
          <w:rPr>
            <w:noProof/>
            <w:webHidden/>
          </w:rPr>
          <w:t>7</w:t>
        </w:r>
        <w:r w:rsidR="00831A3A">
          <w:rPr>
            <w:noProof/>
            <w:webHidden/>
          </w:rPr>
          <w:fldChar w:fldCharType="end"/>
        </w:r>
      </w:hyperlink>
    </w:p>
    <w:p w14:paraId="0C9C55E2" w14:textId="357EB115"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28" w:history="1">
        <w:r w:rsidR="00831A3A" w:rsidRPr="009A5393">
          <w:rPr>
            <w:rStyle w:val="Hypertextovodkaz"/>
            <w:noProof/>
          </w:rPr>
          <w:t>Tabulka č. 3: Výdaje systému v. z. p. za rok 2023</w:t>
        </w:r>
        <w:r w:rsidR="00831A3A">
          <w:rPr>
            <w:noProof/>
            <w:webHidden/>
          </w:rPr>
          <w:tab/>
        </w:r>
        <w:r w:rsidR="00831A3A">
          <w:rPr>
            <w:noProof/>
            <w:webHidden/>
          </w:rPr>
          <w:fldChar w:fldCharType="begin"/>
        </w:r>
        <w:r w:rsidR="00831A3A">
          <w:rPr>
            <w:noProof/>
            <w:webHidden/>
          </w:rPr>
          <w:instrText xml:space="preserve"> PAGEREF _Toc168993228 \h </w:instrText>
        </w:r>
        <w:r w:rsidR="00831A3A">
          <w:rPr>
            <w:noProof/>
            <w:webHidden/>
          </w:rPr>
        </w:r>
        <w:r w:rsidR="00831A3A">
          <w:rPr>
            <w:noProof/>
            <w:webHidden/>
          </w:rPr>
          <w:fldChar w:fldCharType="separate"/>
        </w:r>
        <w:r w:rsidR="00252624">
          <w:rPr>
            <w:noProof/>
            <w:webHidden/>
          </w:rPr>
          <w:t>8</w:t>
        </w:r>
        <w:r w:rsidR="00831A3A">
          <w:rPr>
            <w:noProof/>
            <w:webHidden/>
          </w:rPr>
          <w:fldChar w:fldCharType="end"/>
        </w:r>
      </w:hyperlink>
    </w:p>
    <w:p w14:paraId="649773B3" w14:textId="2C785FFE"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29" w:history="1">
        <w:r w:rsidR="00831A3A" w:rsidRPr="009A5393">
          <w:rPr>
            <w:rStyle w:val="Hypertextovodkaz"/>
            <w:noProof/>
            <w:lang w:bidi="hi-IN"/>
          </w:rPr>
          <w:t>Tabulka č. 4: Výdaje systému v. z. p. 2023 dle zdravotních pojišťoven</w:t>
        </w:r>
        <w:r w:rsidR="00831A3A">
          <w:rPr>
            <w:noProof/>
            <w:webHidden/>
          </w:rPr>
          <w:tab/>
        </w:r>
        <w:r w:rsidR="00831A3A">
          <w:rPr>
            <w:noProof/>
            <w:webHidden/>
          </w:rPr>
          <w:fldChar w:fldCharType="begin"/>
        </w:r>
        <w:r w:rsidR="00831A3A">
          <w:rPr>
            <w:noProof/>
            <w:webHidden/>
          </w:rPr>
          <w:instrText xml:space="preserve"> PAGEREF _Toc168993229 \h </w:instrText>
        </w:r>
        <w:r w:rsidR="00831A3A">
          <w:rPr>
            <w:noProof/>
            <w:webHidden/>
          </w:rPr>
        </w:r>
        <w:r w:rsidR="00831A3A">
          <w:rPr>
            <w:noProof/>
            <w:webHidden/>
          </w:rPr>
          <w:fldChar w:fldCharType="separate"/>
        </w:r>
        <w:r w:rsidR="00252624">
          <w:rPr>
            <w:noProof/>
            <w:webHidden/>
          </w:rPr>
          <w:t>10</w:t>
        </w:r>
        <w:r w:rsidR="00831A3A">
          <w:rPr>
            <w:noProof/>
            <w:webHidden/>
          </w:rPr>
          <w:fldChar w:fldCharType="end"/>
        </w:r>
      </w:hyperlink>
    </w:p>
    <w:p w14:paraId="213E8780" w14:textId="01450519"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0" w:history="1">
        <w:r w:rsidR="00831A3A" w:rsidRPr="009A5393">
          <w:rPr>
            <w:rStyle w:val="Hypertextovodkaz"/>
            <w:noProof/>
            <w:lang w:bidi="hi-IN"/>
          </w:rPr>
          <w:t>Tabulka č. 5: Vybrané ukazatele 2023 dle zdravotních pojišťoven</w:t>
        </w:r>
        <w:r w:rsidR="00831A3A">
          <w:rPr>
            <w:noProof/>
            <w:webHidden/>
          </w:rPr>
          <w:tab/>
        </w:r>
        <w:r w:rsidR="00831A3A">
          <w:rPr>
            <w:noProof/>
            <w:webHidden/>
          </w:rPr>
          <w:fldChar w:fldCharType="begin"/>
        </w:r>
        <w:r w:rsidR="00831A3A">
          <w:rPr>
            <w:noProof/>
            <w:webHidden/>
          </w:rPr>
          <w:instrText xml:space="preserve"> PAGEREF _Toc168993230 \h </w:instrText>
        </w:r>
        <w:r w:rsidR="00831A3A">
          <w:rPr>
            <w:noProof/>
            <w:webHidden/>
          </w:rPr>
        </w:r>
        <w:r w:rsidR="00831A3A">
          <w:rPr>
            <w:noProof/>
            <w:webHidden/>
          </w:rPr>
          <w:fldChar w:fldCharType="separate"/>
        </w:r>
        <w:r w:rsidR="00252624">
          <w:rPr>
            <w:noProof/>
            <w:webHidden/>
          </w:rPr>
          <w:t>12</w:t>
        </w:r>
        <w:r w:rsidR="00831A3A">
          <w:rPr>
            <w:noProof/>
            <w:webHidden/>
          </w:rPr>
          <w:fldChar w:fldCharType="end"/>
        </w:r>
      </w:hyperlink>
    </w:p>
    <w:p w14:paraId="76E0FB6F" w14:textId="68166C4C"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1" w:history="1">
        <w:r w:rsidR="00831A3A" w:rsidRPr="009A5393">
          <w:rPr>
            <w:rStyle w:val="Hypertextovodkaz"/>
            <w:noProof/>
          </w:rPr>
          <w:t>Tabulka č. 6: Srovnání zůstatků na bankovních účtech dle zdravotních pojišťoven v roce 2023</w:t>
        </w:r>
        <w:r w:rsidR="00831A3A">
          <w:rPr>
            <w:noProof/>
            <w:webHidden/>
          </w:rPr>
          <w:tab/>
        </w:r>
        <w:r w:rsidR="00831A3A">
          <w:rPr>
            <w:noProof/>
            <w:webHidden/>
          </w:rPr>
          <w:fldChar w:fldCharType="begin"/>
        </w:r>
        <w:r w:rsidR="00831A3A">
          <w:rPr>
            <w:noProof/>
            <w:webHidden/>
          </w:rPr>
          <w:instrText xml:space="preserve"> PAGEREF _Toc168993231 \h </w:instrText>
        </w:r>
        <w:r w:rsidR="00831A3A">
          <w:rPr>
            <w:noProof/>
            <w:webHidden/>
          </w:rPr>
        </w:r>
        <w:r w:rsidR="00831A3A">
          <w:rPr>
            <w:noProof/>
            <w:webHidden/>
          </w:rPr>
          <w:fldChar w:fldCharType="separate"/>
        </w:r>
        <w:r w:rsidR="00252624">
          <w:rPr>
            <w:noProof/>
            <w:webHidden/>
          </w:rPr>
          <w:t>14</w:t>
        </w:r>
        <w:r w:rsidR="00831A3A">
          <w:rPr>
            <w:noProof/>
            <w:webHidden/>
          </w:rPr>
          <w:fldChar w:fldCharType="end"/>
        </w:r>
      </w:hyperlink>
    </w:p>
    <w:p w14:paraId="301ACB89" w14:textId="6B9D8BF8"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2" w:history="1">
        <w:r w:rsidR="00831A3A" w:rsidRPr="009A5393">
          <w:rPr>
            <w:rStyle w:val="Hypertextovodkaz"/>
            <w:noProof/>
            <w:lang w:bidi="hi-IN"/>
          </w:rPr>
          <w:t>Tabulka č. 7: Pojištěnci a zaměstnanci systému v. z. p. 2023 dle zdravotních pojišťoven</w:t>
        </w:r>
        <w:r w:rsidR="00831A3A">
          <w:rPr>
            <w:noProof/>
            <w:webHidden/>
          </w:rPr>
          <w:tab/>
        </w:r>
        <w:r w:rsidR="00831A3A">
          <w:rPr>
            <w:noProof/>
            <w:webHidden/>
          </w:rPr>
          <w:fldChar w:fldCharType="begin"/>
        </w:r>
        <w:r w:rsidR="00831A3A">
          <w:rPr>
            <w:noProof/>
            <w:webHidden/>
          </w:rPr>
          <w:instrText xml:space="preserve"> PAGEREF _Toc168993232 \h </w:instrText>
        </w:r>
        <w:r w:rsidR="00831A3A">
          <w:rPr>
            <w:noProof/>
            <w:webHidden/>
          </w:rPr>
        </w:r>
        <w:r w:rsidR="00831A3A">
          <w:rPr>
            <w:noProof/>
            <w:webHidden/>
          </w:rPr>
          <w:fldChar w:fldCharType="separate"/>
        </w:r>
        <w:r w:rsidR="00252624">
          <w:rPr>
            <w:noProof/>
            <w:webHidden/>
          </w:rPr>
          <w:t>16</w:t>
        </w:r>
        <w:r w:rsidR="00831A3A">
          <w:rPr>
            <w:noProof/>
            <w:webHidden/>
          </w:rPr>
          <w:fldChar w:fldCharType="end"/>
        </w:r>
      </w:hyperlink>
    </w:p>
    <w:p w14:paraId="0EFF0424" w14:textId="515F0687"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3" w:history="1">
        <w:r w:rsidR="00831A3A" w:rsidRPr="009A5393">
          <w:rPr>
            <w:rStyle w:val="Hypertextovodkaz"/>
            <w:noProof/>
            <w:lang w:bidi="hi-IN"/>
          </w:rPr>
          <w:t>Tabulka č. 8: Náklady na zdravotní služby ze ZFZP podle segmentů</w:t>
        </w:r>
        <w:r w:rsidR="00831A3A">
          <w:rPr>
            <w:noProof/>
            <w:webHidden/>
          </w:rPr>
          <w:tab/>
        </w:r>
        <w:r w:rsidR="00831A3A">
          <w:rPr>
            <w:noProof/>
            <w:webHidden/>
          </w:rPr>
          <w:fldChar w:fldCharType="begin"/>
        </w:r>
        <w:r w:rsidR="00831A3A">
          <w:rPr>
            <w:noProof/>
            <w:webHidden/>
          </w:rPr>
          <w:instrText xml:space="preserve"> PAGEREF _Toc168993233 \h </w:instrText>
        </w:r>
        <w:r w:rsidR="00831A3A">
          <w:rPr>
            <w:noProof/>
            <w:webHidden/>
          </w:rPr>
        </w:r>
        <w:r w:rsidR="00831A3A">
          <w:rPr>
            <w:noProof/>
            <w:webHidden/>
          </w:rPr>
          <w:fldChar w:fldCharType="separate"/>
        </w:r>
        <w:r w:rsidR="00252624">
          <w:rPr>
            <w:noProof/>
            <w:webHidden/>
          </w:rPr>
          <w:t>20</w:t>
        </w:r>
        <w:r w:rsidR="00831A3A">
          <w:rPr>
            <w:noProof/>
            <w:webHidden/>
          </w:rPr>
          <w:fldChar w:fldCharType="end"/>
        </w:r>
      </w:hyperlink>
    </w:p>
    <w:p w14:paraId="684E837C" w14:textId="191BF3FD"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4" w:history="1">
        <w:r w:rsidR="00831A3A" w:rsidRPr="009A5393">
          <w:rPr>
            <w:rStyle w:val="Hypertextovodkaz"/>
            <w:noProof/>
            <w:lang w:bidi="hi-IN"/>
          </w:rPr>
          <w:t>Tabulka č. 9: Vývoj nákladů na zdravotní služby ze ZFZP podle segmentů</w:t>
        </w:r>
        <w:r w:rsidR="00831A3A">
          <w:rPr>
            <w:noProof/>
            <w:webHidden/>
          </w:rPr>
          <w:tab/>
        </w:r>
        <w:r w:rsidR="00831A3A">
          <w:rPr>
            <w:noProof/>
            <w:webHidden/>
          </w:rPr>
          <w:fldChar w:fldCharType="begin"/>
        </w:r>
        <w:r w:rsidR="00831A3A">
          <w:rPr>
            <w:noProof/>
            <w:webHidden/>
          </w:rPr>
          <w:instrText xml:space="preserve"> PAGEREF _Toc168993234 \h </w:instrText>
        </w:r>
        <w:r w:rsidR="00831A3A">
          <w:rPr>
            <w:noProof/>
            <w:webHidden/>
          </w:rPr>
        </w:r>
        <w:r w:rsidR="00831A3A">
          <w:rPr>
            <w:noProof/>
            <w:webHidden/>
          </w:rPr>
          <w:fldChar w:fldCharType="separate"/>
        </w:r>
        <w:r w:rsidR="00252624">
          <w:rPr>
            <w:noProof/>
            <w:webHidden/>
          </w:rPr>
          <w:t>21</w:t>
        </w:r>
        <w:r w:rsidR="00831A3A">
          <w:rPr>
            <w:noProof/>
            <w:webHidden/>
          </w:rPr>
          <w:fldChar w:fldCharType="end"/>
        </w:r>
      </w:hyperlink>
    </w:p>
    <w:p w14:paraId="271724E8" w14:textId="10E48B3C"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5" w:history="1">
        <w:r w:rsidR="00831A3A" w:rsidRPr="009A5393">
          <w:rPr>
            <w:rStyle w:val="Hypertextovodkaz"/>
            <w:noProof/>
            <w:lang w:bidi="hi-IN"/>
          </w:rPr>
          <w:t>Tabulka č. 10: Náklady na zdravotní služby ze ZFZP podle segmentů a zdravotních pojišťoven v roce 2023</w:t>
        </w:r>
        <w:r w:rsidR="00831A3A">
          <w:rPr>
            <w:noProof/>
            <w:webHidden/>
          </w:rPr>
          <w:tab/>
        </w:r>
        <w:r w:rsidR="00831A3A">
          <w:rPr>
            <w:noProof/>
            <w:webHidden/>
          </w:rPr>
          <w:fldChar w:fldCharType="begin"/>
        </w:r>
        <w:r w:rsidR="00831A3A">
          <w:rPr>
            <w:noProof/>
            <w:webHidden/>
          </w:rPr>
          <w:instrText xml:space="preserve"> PAGEREF _Toc168993235 \h </w:instrText>
        </w:r>
        <w:r w:rsidR="00831A3A">
          <w:rPr>
            <w:noProof/>
            <w:webHidden/>
          </w:rPr>
        </w:r>
        <w:r w:rsidR="00831A3A">
          <w:rPr>
            <w:noProof/>
            <w:webHidden/>
          </w:rPr>
          <w:fldChar w:fldCharType="separate"/>
        </w:r>
        <w:r w:rsidR="00252624">
          <w:rPr>
            <w:noProof/>
            <w:webHidden/>
          </w:rPr>
          <w:t>22</w:t>
        </w:r>
        <w:r w:rsidR="00831A3A">
          <w:rPr>
            <w:noProof/>
            <w:webHidden/>
          </w:rPr>
          <w:fldChar w:fldCharType="end"/>
        </w:r>
      </w:hyperlink>
    </w:p>
    <w:p w14:paraId="3DEFB199" w14:textId="1A9B519D"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6" w:history="1">
        <w:r w:rsidR="00831A3A" w:rsidRPr="009A5393">
          <w:rPr>
            <w:rStyle w:val="Hypertextovodkaz"/>
            <w:noProof/>
            <w:lang w:bidi="hi-IN"/>
          </w:rPr>
          <w:t>Tabulka č. 11: Vývoj nákladů na zdravotní služby ze ZFZP podle segmentů v přepočtu na pojištěnce</w:t>
        </w:r>
        <w:r w:rsidR="00831A3A">
          <w:rPr>
            <w:noProof/>
            <w:webHidden/>
          </w:rPr>
          <w:tab/>
        </w:r>
        <w:r w:rsidR="00831A3A">
          <w:rPr>
            <w:noProof/>
            <w:webHidden/>
          </w:rPr>
          <w:fldChar w:fldCharType="begin"/>
        </w:r>
        <w:r w:rsidR="00831A3A">
          <w:rPr>
            <w:noProof/>
            <w:webHidden/>
          </w:rPr>
          <w:instrText xml:space="preserve"> PAGEREF _Toc168993236 \h </w:instrText>
        </w:r>
        <w:r w:rsidR="00831A3A">
          <w:rPr>
            <w:noProof/>
            <w:webHidden/>
          </w:rPr>
        </w:r>
        <w:r w:rsidR="00831A3A">
          <w:rPr>
            <w:noProof/>
            <w:webHidden/>
          </w:rPr>
          <w:fldChar w:fldCharType="separate"/>
        </w:r>
        <w:r w:rsidR="00252624">
          <w:rPr>
            <w:noProof/>
            <w:webHidden/>
          </w:rPr>
          <w:t>22</w:t>
        </w:r>
        <w:r w:rsidR="00831A3A">
          <w:rPr>
            <w:noProof/>
            <w:webHidden/>
          </w:rPr>
          <w:fldChar w:fldCharType="end"/>
        </w:r>
      </w:hyperlink>
    </w:p>
    <w:p w14:paraId="2F7D01D7" w14:textId="7A01E973"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7" w:history="1">
        <w:r w:rsidR="00831A3A" w:rsidRPr="009A5393">
          <w:rPr>
            <w:rStyle w:val="Hypertextovodkaz"/>
            <w:noProof/>
            <w:lang w:bidi="hi-IN"/>
          </w:rPr>
          <w:t>Tabulka č. 12: Náklady na zdravotní služby ze ZFZP podle segmentů a zdravotních pojišťoven v roce 2023 v přepočtu na pojištěnce</w:t>
        </w:r>
        <w:r w:rsidR="00831A3A">
          <w:rPr>
            <w:noProof/>
            <w:webHidden/>
          </w:rPr>
          <w:tab/>
        </w:r>
        <w:r w:rsidR="00831A3A">
          <w:rPr>
            <w:noProof/>
            <w:webHidden/>
          </w:rPr>
          <w:fldChar w:fldCharType="begin"/>
        </w:r>
        <w:r w:rsidR="00831A3A">
          <w:rPr>
            <w:noProof/>
            <w:webHidden/>
          </w:rPr>
          <w:instrText xml:space="preserve"> PAGEREF _Toc168993237 \h </w:instrText>
        </w:r>
        <w:r w:rsidR="00831A3A">
          <w:rPr>
            <w:noProof/>
            <w:webHidden/>
          </w:rPr>
        </w:r>
        <w:r w:rsidR="00831A3A">
          <w:rPr>
            <w:noProof/>
            <w:webHidden/>
          </w:rPr>
          <w:fldChar w:fldCharType="separate"/>
        </w:r>
        <w:r w:rsidR="00252624">
          <w:rPr>
            <w:noProof/>
            <w:webHidden/>
          </w:rPr>
          <w:t>24</w:t>
        </w:r>
        <w:r w:rsidR="00831A3A">
          <w:rPr>
            <w:noProof/>
            <w:webHidden/>
          </w:rPr>
          <w:fldChar w:fldCharType="end"/>
        </w:r>
      </w:hyperlink>
    </w:p>
    <w:p w14:paraId="69BC64FA" w14:textId="7A033FBD"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8" w:history="1">
        <w:r w:rsidR="00831A3A" w:rsidRPr="009A5393">
          <w:rPr>
            <w:rStyle w:val="Hypertextovodkaz"/>
            <w:noProof/>
            <w:lang w:bidi="hi-IN"/>
          </w:rPr>
          <w:t>Tabulka č. 13: Překročení zákonného limitu</w:t>
        </w:r>
        <w:r w:rsidR="00831A3A">
          <w:rPr>
            <w:noProof/>
            <w:webHidden/>
          </w:rPr>
          <w:tab/>
        </w:r>
        <w:r w:rsidR="00831A3A">
          <w:rPr>
            <w:noProof/>
            <w:webHidden/>
          </w:rPr>
          <w:fldChar w:fldCharType="begin"/>
        </w:r>
        <w:r w:rsidR="00831A3A">
          <w:rPr>
            <w:noProof/>
            <w:webHidden/>
          </w:rPr>
          <w:instrText xml:space="preserve"> PAGEREF _Toc168993238 \h </w:instrText>
        </w:r>
        <w:r w:rsidR="00831A3A">
          <w:rPr>
            <w:noProof/>
            <w:webHidden/>
          </w:rPr>
        </w:r>
        <w:r w:rsidR="00831A3A">
          <w:rPr>
            <w:noProof/>
            <w:webHidden/>
          </w:rPr>
          <w:fldChar w:fldCharType="separate"/>
        </w:r>
        <w:r w:rsidR="00252624">
          <w:rPr>
            <w:noProof/>
            <w:webHidden/>
          </w:rPr>
          <w:t>24</w:t>
        </w:r>
        <w:r w:rsidR="00831A3A">
          <w:rPr>
            <w:noProof/>
            <w:webHidden/>
          </w:rPr>
          <w:fldChar w:fldCharType="end"/>
        </w:r>
      </w:hyperlink>
    </w:p>
    <w:p w14:paraId="7B7ABCC8" w14:textId="0EED9E9A"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39" w:history="1">
        <w:r w:rsidR="00831A3A" w:rsidRPr="009A5393">
          <w:rPr>
            <w:rStyle w:val="Hypertextovodkaz"/>
            <w:noProof/>
            <w:lang w:bidi="hi-IN"/>
          </w:rPr>
          <w:t>Tabulka č. 14: Vývoj nákladů na léčení zahraničních pojištěnců v České republice</w:t>
        </w:r>
        <w:r w:rsidR="00831A3A">
          <w:rPr>
            <w:noProof/>
            <w:webHidden/>
          </w:rPr>
          <w:tab/>
        </w:r>
        <w:r w:rsidR="00831A3A">
          <w:rPr>
            <w:noProof/>
            <w:webHidden/>
          </w:rPr>
          <w:fldChar w:fldCharType="begin"/>
        </w:r>
        <w:r w:rsidR="00831A3A">
          <w:rPr>
            <w:noProof/>
            <w:webHidden/>
          </w:rPr>
          <w:instrText xml:space="preserve"> PAGEREF _Toc168993239 \h </w:instrText>
        </w:r>
        <w:r w:rsidR="00831A3A">
          <w:rPr>
            <w:noProof/>
            <w:webHidden/>
          </w:rPr>
        </w:r>
        <w:r w:rsidR="00831A3A">
          <w:rPr>
            <w:noProof/>
            <w:webHidden/>
          </w:rPr>
          <w:fldChar w:fldCharType="separate"/>
        </w:r>
        <w:r w:rsidR="00252624">
          <w:rPr>
            <w:noProof/>
            <w:webHidden/>
          </w:rPr>
          <w:t>25</w:t>
        </w:r>
        <w:r w:rsidR="00831A3A">
          <w:rPr>
            <w:noProof/>
            <w:webHidden/>
          </w:rPr>
          <w:fldChar w:fldCharType="end"/>
        </w:r>
      </w:hyperlink>
    </w:p>
    <w:p w14:paraId="2EA94F6D" w14:textId="0915AB3B"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40" w:history="1">
        <w:r w:rsidR="00831A3A" w:rsidRPr="009A5393">
          <w:rPr>
            <w:rStyle w:val="Hypertextovodkaz"/>
            <w:noProof/>
            <w:lang w:bidi="hi-IN"/>
          </w:rPr>
          <w:t>Tabulka č. 15: Náklady na léčení zahraničních pojištěnců v České republice podle zdravotních pojišťoven v roce 2023</w:t>
        </w:r>
        <w:r w:rsidR="00831A3A">
          <w:rPr>
            <w:noProof/>
            <w:webHidden/>
          </w:rPr>
          <w:tab/>
        </w:r>
        <w:r w:rsidR="00831A3A">
          <w:rPr>
            <w:noProof/>
            <w:webHidden/>
          </w:rPr>
          <w:fldChar w:fldCharType="begin"/>
        </w:r>
        <w:r w:rsidR="00831A3A">
          <w:rPr>
            <w:noProof/>
            <w:webHidden/>
          </w:rPr>
          <w:instrText xml:space="preserve"> PAGEREF _Toc168993240 \h </w:instrText>
        </w:r>
        <w:r w:rsidR="00831A3A">
          <w:rPr>
            <w:noProof/>
            <w:webHidden/>
          </w:rPr>
        </w:r>
        <w:r w:rsidR="00831A3A">
          <w:rPr>
            <w:noProof/>
            <w:webHidden/>
          </w:rPr>
          <w:fldChar w:fldCharType="separate"/>
        </w:r>
        <w:r w:rsidR="00252624">
          <w:rPr>
            <w:noProof/>
            <w:webHidden/>
          </w:rPr>
          <w:t>25</w:t>
        </w:r>
        <w:r w:rsidR="00831A3A">
          <w:rPr>
            <w:noProof/>
            <w:webHidden/>
          </w:rPr>
          <w:fldChar w:fldCharType="end"/>
        </w:r>
      </w:hyperlink>
    </w:p>
    <w:p w14:paraId="3058CB5C" w14:textId="1F7305B9"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41" w:history="1">
        <w:r w:rsidR="00831A3A" w:rsidRPr="009A5393">
          <w:rPr>
            <w:rStyle w:val="Hypertextovodkaz"/>
            <w:noProof/>
            <w:lang w:bidi="hi-IN"/>
          </w:rPr>
          <w:t>Tabulka č. 16: Vývoj nákladů na preventivní zdravotní péči a další programy čerpaných z fondu prevence ZP a specifických fondů VoZP ČR</w:t>
        </w:r>
        <w:r w:rsidR="00831A3A">
          <w:rPr>
            <w:noProof/>
            <w:webHidden/>
          </w:rPr>
          <w:tab/>
        </w:r>
        <w:r w:rsidR="00831A3A">
          <w:rPr>
            <w:noProof/>
            <w:webHidden/>
          </w:rPr>
          <w:fldChar w:fldCharType="begin"/>
        </w:r>
        <w:r w:rsidR="00831A3A">
          <w:rPr>
            <w:noProof/>
            <w:webHidden/>
          </w:rPr>
          <w:instrText xml:space="preserve"> PAGEREF _Toc168993241 \h </w:instrText>
        </w:r>
        <w:r w:rsidR="00831A3A">
          <w:rPr>
            <w:noProof/>
            <w:webHidden/>
          </w:rPr>
        </w:r>
        <w:r w:rsidR="00831A3A">
          <w:rPr>
            <w:noProof/>
            <w:webHidden/>
          </w:rPr>
          <w:fldChar w:fldCharType="separate"/>
        </w:r>
        <w:r w:rsidR="00252624">
          <w:rPr>
            <w:noProof/>
            <w:webHidden/>
          </w:rPr>
          <w:t>26</w:t>
        </w:r>
        <w:r w:rsidR="00831A3A">
          <w:rPr>
            <w:noProof/>
            <w:webHidden/>
          </w:rPr>
          <w:fldChar w:fldCharType="end"/>
        </w:r>
      </w:hyperlink>
    </w:p>
    <w:p w14:paraId="597E5C31" w14:textId="00C9A1A5" w:rsidR="00831A3A" w:rsidRDefault="00E364A2">
      <w:pPr>
        <w:pStyle w:val="Seznamobrzk"/>
        <w:tabs>
          <w:tab w:val="right" w:leader="dot" w:pos="9628"/>
        </w:tabs>
        <w:rPr>
          <w:rFonts w:eastAsiaTheme="minorEastAsia"/>
          <w:noProof/>
          <w:kern w:val="2"/>
          <w:sz w:val="22"/>
          <w:lang w:eastAsia="cs-CZ"/>
          <w14:ligatures w14:val="standardContextual"/>
        </w:rPr>
      </w:pPr>
      <w:hyperlink w:anchor="_Toc168993242" w:history="1">
        <w:r w:rsidR="00831A3A" w:rsidRPr="009A5393">
          <w:rPr>
            <w:rStyle w:val="Hypertextovodkaz"/>
            <w:noProof/>
            <w:lang w:bidi="hi-IN"/>
          </w:rPr>
          <w:t>Tabulka č. 17: Náklady na preventivní zdravotní péči a další programy čerpané z fondu prevence ZP a specifických fondů VoZP ČR podle zdravotních pojišťoven v roce 2023</w:t>
        </w:r>
        <w:r w:rsidR="00831A3A">
          <w:rPr>
            <w:noProof/>
            <w:webHidden/>
          </w:rPr>
          <w:tab/>
        </w:r>
        <w:r w:rsidR="00831A3A">
          <w:rPr>
            <w:noProof/>
            <w:webHidden/>
          </w:rPr>
          <w:fldChar w:fldCharType="begin"/>
        </w:r>
        <w:r w:rsidR="00831A3A">
          <w:rPr>
            <w:noProof/>
            <w:webHidden/>
          </w:rPr>
          <w:instrText xml:space="preserve"> PAGEREF _Toc168993242 \h </w:instrText>
        </w:r>
        <w:r w:rsidR="00831A3A">
          <w:rPr>
            <w:noProof/>
            <w:webHidden/>
          </w:rPr>
        </w:r>
        <w:r w:rsidR="00831A3A">
          <w:rPr>
            <w:noProof/>
            <w:webHidden/>
          </w:rPr>
          <w:fldChar w:fldCharType="separate"/>
        </w:r>
        <w:r w:rsidR="00252624">
          <w:rPr>
            <w:noProof/>
            <w:webHidden/>
          </w:rPr>
          <w:t>27</w:t>
        </w:r>
        <w:r w:rsidR="00831A3A">
          <w:rPr>
            <w:noProof/>
            <w:webHidden/>
          </w:rPr>
          <w:fldChar w:fldCharType="end"/>
        </w:r>
      </w:hyperlink>
    </w:p>
    <w:p w14:paraId="2CEF4307" w14:textId="5FA3A07C" w:rsidR="00111366" w:rsidRDefault="000568CC" w:rsidP="000568CC">
      <w:pPr>
        <w:pStyle w:val="Seznamobrzk"/>
        <w:tabs>
          <w:tab w:val="right" w:leader="dot" w:pos="9628"/>
        </w:tabs>
      </w:pPr>
      <w:r>
        <w:fldChar w:fldCharType="end"/>
      </w:r>
      <w:r w:rsidR="00111366">
        <w:br w:type="page"/>
      </w:r>
    </w:p>
    <w:p w14:paraId="71EB31C4" w14:textId="77777777" w:rsidR="00111366" w:rsidRPr="00AF37E6" w:rsidRDefault="00111366" w:rsidP="007327D1">
      <w:pPr>
        <w:pStyle w:val="Nadpis1"/>
      </w:pPr>
      <w:bookmarkStart w:id="85" w:name="_Toc169176591"/>
      <w:r>
        <w:t>Tabulková příloha</w:t>
      </w:r>
      <w:bookmarkEnd w:id="85"/>
    </w:p>
    <w:p w14:paraId="66E11E51" w14:textId="77777777" w:rsidR="00355502" w:rsidRDefault="00355502" w:rsidP="00355502">
      <w:pPr>
        <w:jc w:val="both"/>
      </w:pPr>
      <w:r w:rsidRPr="00CE63EA">
        <w:rPr>
          <w:szCs w:val="21"/>
        </w:rPr>
        <w:t xml:space="preserve">Tabulková příloha podrobněji </w:t>
      </w:r>
      <w:r>
        <w:rPr>
          <w:szCs w:val="21"/>
        </w:rPr>
        <w:t>zobrazuje</w:t>
      </w:r>
      <w:r w:rsidRPr="00CE63EA">
        <w:rPr>
          <w:rFonts w:ascii="Calibri" w:hAnsi="Calibri"/>
          <w:spacing w:val="-10"/>
          <w:szCs w:val="21"/>
        </w:rPr>
        <w:t xml:space="preserve"> vývoj systému veřejného zdravotního pojištění</w:t>
      </w:r>
      <w:r>
        <w:rPr>
          <w:rFonts w:ascii="Calibri" w:hAnsi="Calibri"/>
          <w:spacing w:val="-10"/>
          <w:szCs w:val="21"/>
        </w:rPr>
        <w:t xml:space="preserve"> jako celku i</w:t>
      </w:r>
      <w:r w:rsidRPr="00CE63EA">
        <w:rPr>
          <w:rFonts w:ascii="Calibri" w:hAnsi="Calibri"/>
          <w:spacing w:val="-10"/>
          <w:szCs w:val="21"/>
        </w:rPr>
        <w:t xml:space="preserve"> jednotlivý</w:t>
      </w:r>
      <w:r>
        <w:rPr>
          <w:rFonts w:ascii="Calibri" w:hAnsi="Calibri"/>
          <w:spacing w:val="-10"/>
          <w:szCs w:val="21"/>
        </w:rPr>
        <w:t>ch</w:t>
      </w:r>
      <w:r w:rsidRPr="00CE63EA">
        <w:rPr>
          <w:rFonts w:ascii="Calibri" w:hAnsi="Calibri"/>
          <w:spacing w:val="-10"/>
          <w:szCs w:val="21"/>
        </w:rPr>
        <w:t xml:space="preserve"> </w:t>
      </w:r>
      <w:r>
        <w:rPr>
          <w:rFonts w:ascii="Calibri" w:hAnsi="Calibri"/>
          <w:spacing w:val="-10"/>
          <w:szCs w:val="21"/>
        </w:rPr>
        <w:t xml:space="preserve">zdravotních </w:t>
      </w:r>
      <w:r w:rsidRPr="00CE63EA">
        <w:rPr>
          <w:rFonts w:ascii="Calibri" w:hAnsi="Calibri"/>
          <w:spacing w:val="-10"/>
          <w:szCs w:val="21"/>
        </w:rPr>
        <w:t>pojišťov</w:t>
      </w:r>
      <w:r>
        <w:rPr>
          <w:rFonts w:ascii="Calibri" w:hAnsi="Calibri"/>
          <w:spacing w:val="-10"/>
          <w:szCs w:val="21"/>
        </w:rPr>
        <w:t>e</w:t>
      </w:r>
      <w:r w:rsidRPr="00CE63EA">
        <w:rPr>
          <w:rFonts w:ascii="Calibri" w:hAnsi="Calibri"/>
          <w:spacing w:val="-10"/>
          <w:szCs w:val="21"/>
        </w:rPr>
        <w:t>n.</w:t>
      </w:r>
      <w:r w:rsidRPr="00CE63EA">
        <w:t xml:space="preserve"> </w:t>
      </w:r>
    </w:p>
    <w:p w14:paraId="6554FBD7" w14:textId="77777777" w:rsidR="00355502" w:rsidRPr="007E1F99" w:rsidRDefault="00355502" w:rsidP="00355502">
      <w:pPr>
        <w:pStyle w:val="Nadpis2"/>
        <w:numPr>
          <w:ilvl w:val="0"/>
          <w:numId w:val="0"/>
        </w:numPr>
        <w:ind w:left="576" w:hanging="576"/>
      </w:pPr>
      <w:bookmarkStart w:id="86" w:name="_Toc25072442"/>
      <w:bookmarkStart w:id="87" w:name="_Toc169176592"/>
      <w:r w:rsidRPr="007E1F99">
        <w:t>Přehled</w:t>
      </w:r>
      <w:bookmarkEnd w:id="86"/>
      <w:bookmarkEnd w:id="87"/>
    </w:p>
    <w:p w14:paraId="76DB46EF" w14:textId="424E5B20" w:rsidR="00F150BD" w:rsidRPr="00AD2E56" w:rsidRDefault="00F150BD" w:rsidP="00F150BD">
      <w:pPr>
        <w:spacing w:line="23" w:lineRule="atLeast"/>
        <w:ind w:left="2127" w:hanging="2127"/>
        <w:jc w:val="both"/>
        <w:rPr>
          <w:bCs/>
        </w:rPr>
      </w:pPr>
      <w:r w:rsidRPr="00AD2E56">
        <w:rPr>
          <w:b/>
        </w:rPr>
        <w:t>Tabulka č. 1</w:t>
      </w:r>
      <w:r w:rsidRPr="00AD2E56">
        <w:rPr>
          <w:b/>
        </w:rPr>
        <w:tab/>
      </w:r>
      <w:r w:rsidRPr="00AD2E56">
        <w:rPr>
          <w:bCs/>
        </w:rPr>
        <w:t xml:space="preserve">Vybrané ukazatele hospodaření zdravotních pojišťoven v letech </w:t>
      </w:r>
      <w:r w:rsidR="00191AF0">
        <w:rPr>
          <w:bCs/>
        </w:rPr>
        <w:t>202</w:t>
      </w:r>
      <w:r w:rsidR="00774720">
        <w:rPr>
          <w:bCs/>
        </w:rPr>
        <w:t>2</w:t>
      </w:r>
      <w:r w:rsidR="00191AF0" w:rsidRPr="00AD2E56">
        <w:rPr>
          <w:bCs/>
        </w:rPr>
        <w:t xml:space="preserve"> </w:t>
      </w:r>
      <w:r w:rsidRPr="00AD2E56">
        <w:rPr>
          <w:bCs/>
        </w:rPr>
        <w:t xml:space="preserve">a </w:t>
      </w:r>
      <w:r w:rsidR="00191AF0">
        <w:rPr>
          <w:bCs/>
        </w:rPr>
        <w:t>202</w:t>
      </w:r>
      <w:r w:rsidR="00774720">
        <w:rPr>
          <w:bCs/>
        </w:rPr>
        <w:t>3</w:t>
      </w:r>
    </w:p>
    <w:p w14:paraId="553D4279" w14:textId="59A38E77" w:rsidR="00F150BD" w:rsidRPr="00AD2E56" w:rsidRDefault="00F150BD" w:rsidP="00F150BD">
      <w:pPr>
        <w:spacing w:line="23" w:lineRule="atLeast"/>
        <w:ind w:left="2127" w:hanging="2127"/>
        <w:jc w:val="both"/>
        <w:rPr>
          <w:b/>
        </w:rPr>
      </w:pPr>
      <w:r w:rsidRPr="00AD2E56">
        <w:rPr>
          <w:b/>
        </w:rPr>
        <w:t>Tabulka č. 1a</w:t>
      </w:r>
      <w:r w:rsidRPr="00AD2E56">
        <w:rPr>
          <w:b/>
        </w:rPr>
        <w:tab/>
      </w:r>
      <w:r w:rsidRPr="00AD2E56">
        <w:rPr>
          <w:bCs/>
        </w:rPr>
        <w:t xml:space="preserve">Náklady na činnost zdravotních pojišťoven v letech </w:t>
      </w:r>
      <w:r w:rsidR="00191AF0">
        <w:rPr>
          <w:bCs/>
        </w:rPr>
        <w:t>202</w:t>
      </w:r>
      <w:r w:rsidR="00774720">
        <w:rPr>
          <w:bCs/>
        </w:rPr>
        <w:t>2</w:t>
      </w:r>
      <w:r w:rsidR="00191AF0" w:rsidRPr="00AD2E56">
        <w:rPr>
          <w:bCs/>
        </w:rPr>
        <w:t xml:space="preserve"> </w:t>
      </w:r>
      <w:r w:rsidRPr="00AD2E56">
        <w:rPr>
          <w:bCs/>
        </w:rPr>
        <w:t>a </w:t>
      </w:r>
      <w:r w:rsidR="00191AF0">
        <w:rPr>
          <w:bCs/>
        </w:rPr>
        <w:t>202</w:t>
      </w:r>
      <w:r w:rsidR="00774720">
        <w:rPr>
          <w:bCs/>
        </w:rPr>
        <w:t>3</w:t>
      </w:r>
    </w:p>
    <w:p w14:paraId="2A2BFB58" w14:textId="197A922B" w:rsidR="00F150BD" w:rsidRPr="00AD2E56" w:rsidRDefault="00F150BD" w:rsidP="00F150BD">
      <w:pPr>
        <w:spacing w:line="23" w:lineRule="atLeast"/>
        <w:ind w:left="2127" w:hanging="2127"/>
        <w:jc w:val="both"/>
        <w:rPr>
          <w:bCs/>
        </w:rPr>
      </w:pPr>
      <w:r w:rsidRPr="00AD2E56">
        <w:rPr>
          <w:b/>
        </w:rPr>
        <w:t>Tabulka č. 1b</w:t>
      </w:r>
      <w:r w:rsidRPr="00AD2E56">
        <w:rPr>
          <w:b/>
        </w:rPr>
        <w:tab/>
      </w:r>
      <w:r w:rsidRPr="00AD2E56">
        <w:rPr>
          <w:bCs/>
        </w:rPr>
        <w:t xml:space="preserve">Finanční zůstatky na bankovních účtech základního fondu zdravotního pojištění podle jednotlivých zdravotních pojišťoven k 31. 12. </w:t>
      </w:r>
      <w:r w:rsidR="00191AF0">
        <w:rPr>
          <w:bCs/>
        </w:rPr>
        <w:t>202</w:t>
      </w:r>
      <w:r w:rsidR="00774720">
        <w:rPr>
          <w:bCs/>
        </w:rPr>
        <w:t>2</w:t>
      </w:r>
      <w:r w:rsidR="00191AF0" w:rsidRPr="00AD2E56">
        <w:rPr>
          <w:bCs/>
        </w:rPr>
        <w:t xml:space="preserve"> </w:t>
      </w:r>
      <w:r w:rsidRPr="00AD2E56">
        <w:rPr>
          <w:bCs/>
        </w:rPr>
        <w:t xml:space="preserve">a 31. 12. </w:t>
      </w:r>
      <w:r w:rsidR="00191AF0">
        <w:rPr>
          <w:bCs/>
        </w:rPr>
        <w:t>202</w:t>
      </w:r>
      <w:r w:rsidR="00774720">
        <w:rPr>
          <w:bCs/>
        </w:rPr>
        <w:t>3</w:t>
      </w:r>
    </w:p>
    <w:p w14:paraId="74561B35" w14:textId="19E89E35" w:rsidR="00F150BD" w:rsidRPr="00AD2E56" w:rsidRDefault="00F150BD" w:rsidP="00F150BD">
      <w:pPr>
        <w:spacing w:line="23" w:lineRule="atLeast"/>
        <w:ind w:left="2127" w:hanging="2127"/>
        <w:jc w:val="both"/>
        <w:rPr>
          <w:b/>
        </w:rPr>
      </w:pPr>
      <w:r w:rsidRPr="00AD2E56">
        <w:rPr>
          <w:b/>
        </w:rPr>
        <w:t>Tabulka č. 1c</w:t>
      </w:r>
      <w:r w:rsidRPr="00AD2E56">
        <w:rPr>
          <w:b/>
        </w:rPr>
        <w:tab/>
      </w:r>
      <w:r w:rsidRPr="00AD2E56">
        <w:rPr>
          <w:bCs/>
        </w:rPr>
        <w:t xml:space="preserve">Výstupy z přerozdělování platby státu podle skutečnosti </w:t>
      </w:r>
      <w:r w:rsidR="00191AF0">
        <w:rPr>
          <w:bCs/>
        </w:rPr>
        <w:t>20</w:t>
      </w:r>
      <w:r w:rsidR="006F01CC">
        <w:rPr>
          <w:bCs/>
        </w:rPr>
        <w:t>20</w:t>
      </w:r>
      <w:r w:rsidR="00191AF0" w:rsidRPr="00AD2E56">
        <w:rPr>
          <w:bCs/>
        </w:rPr>
        <w:t xml:space="preserve"> </w:t>
      </w:r>
      <w:r w:rsidRPr="00AD2E56">
        <w:rPr>
          <w:bCs/>
        </w:rPr>
        <w:t xml:space="preserve">až </w:t>
      </w:r>
      <w:r w:rsidR="00191AF0">
        <w:rPr>
          <w:bCs/>
        </w:rPr>
        <w:t>202</w:t>
      </w:r>
      <w:r w:rsidR="00774720">
        <w:rPr>
          <w:bCs/>
        </w:rPr>
        <w:t>3</w:t>
      </w:r>
    </w:p>
    <w:p w14:paraId="265EC1F5" w14:textId="08D19479" w:rsidR="00F150BD" w:rsidRPr="00AD2E56" w:rsidRDefault="00F150BD" w:rsidP="00F150BD">
      <w:pPr>
        <w:spacing w:line="23" w:lineRule="atLeast"/>
        <w:ind w:left="2127" w:hanging="2127"/>
        <w:jc w:val="both"/>
        <w:rPr>
          <w:b/>
        </w:rPr>
      </w:pPr>
      <w:r w:rsidRPr="00AD2E56">
        <w:rPr>
          <w:b/>
        </w:rPr>
        <w:t>Tabulka č. 1d</w:t>
      </w:r>
      <w:r w:rsidRPr="00AD2E56">
        <w:rPr>
          <w:b/>
        </w:rPr>
        <w:tab/>
      </w:r>
      <w:r w:rsidRPr="00AD2E56">
        <w:rPr>
          <w:bCs/>
        </w:rPr>
        <w:t xml:space="preserve">Zůstatky na rezervních fondech zdravotních pojišťoven k 31. 12. </w:t>
      </w:r>
      <w:r w:rsidR="00191AF0">
        <w:rPr>
          <w:bCs/>
        </w:rPr>
        <w:t>202</w:t>
      </w:r>
      <w:r w:rsidR="00774720">
        <w:rPr>
          <w:bCs/>
        </w:rPr>
        <w:t>3</w:t>
      </w:r>
    </w:p>
    <w:p w14:paraId="1C4397AB" w14:textId="56253039" w:rsidR="00F150BD" w:rsidRPr="00AD2E56" w:rsidRDefault="00F150BD" w:rsidP="00F150BD">
      <w:pPr>
        <w:spacing w:line="23" w:lineRule="atLeast"/>
        <w:ind w:left="2127" w:hanging="2127"/>
        <w:jc w:val="both"/>
        <w:rPr>
          <w:b/>
        </w:rPr>
      </w:pPr>
      <w:r w:rsidRPr="00AD2E56">
        <w:rPr>
          <w:b/>
        </w:rPr>
        <w:t>Tabulka č. 2</w:t>
      </w:r>
      <w:r w:rsidRPr="00AD2E56">
        <w:rPr>
          <w:b/>
        </w:rPr>
        <w:tab/>
      </w:r>
      <w:r w:rsidRPr="00AD2E56">
        <w:rPr>
          <w:bCs/>
        </w:rPr>
        <w:t xml:space="preserve">Rozvaha zdravotních pojišťoven k 31. 12. </w:t>
      </w:r>
      <w:r w:rsidR="00191AF0">
        <w:rPr>
          <w:bCs/>
        </w:rPr>
        <w:t>202</w:t>
      </w:r>
      <w:r w:rsidR="00774720">
        <w:rPr>
          <w:bCs/>
        </w:rPr>
        <w:t>3</w:t>
      </w:r>
    </w:p>
    <w:p w14:paraId="681E2F6B" w14:textId="77777777" w:rsidR="00F150BD" w:rsidRPr="00AD2E56" w:rsidRDefault="00F150BD" w:rsidP="00F150BD">
      <w:pPr>
        <w:spacing w:line="23" w:lineRule="atLeast"/>
        <w:ind w:left="2127" w:hanging="2127"/>
        <w:jc w:val="both"/>
        <w:rPr>
          <w:b/>
        </w:rPr>
      </w:pPr>
      <w:r w:rsidRPr="00AD2E56">
        <w:rPr>
          <w:b/>
        </w:rPr>
        <w:t>Tabulka č. 3</w:t>
      </w:r>
      <w:r w:rsidRPr="00AD2E56">
        <w:rPr>
          <w:b/>
        </w:rPr>
        <w:tab/>
      </w:r>
      <w:r w:rsidRPr="00AD2E56">
        <w:rPr>
          <w:bCs/>
        </w:rPr>
        <w:t>Struktura nákladů na zdravotní služby podle jednotlivých segmentů</w:t>
      </w:r>
    </w:p>
    <w:p w14:paraId="690E13D4" w14:textId="190615C0" w:rsidR="00F150BD" w:rsidRPr="00AD2E56" w:rsidRDefault="00F150BD" w:rsidP="00F150BD">
      <w:pPr>
        <w:spacing w:line="23" w:lineRule="atLeast"/>
        <w:ind w:left="2127" w:hanging="2127"/>
        <w:jc w:val="both"/>
        <w:rPr>
          <w:b/>
        </w:rPr>
      </w:pPr>
      <w:r w:rsidRPr="00AD2E56">
        <w:rPr>
          <w:b/>
        </w:rPr>
        <w:t>Tabulka č. 3a</w:t>
      </w:r>
      <w:r w:rsidRPr="00AD2E56">
        <w:rPr>
          <w:b/>
        </w:rPr>
        <w:tab/>
      </w:r>
      <w:r w:rsidRPr="00AD2E56">
        <w:rPr>
          <w:bCs/>
        </w:rPr>
        <w:t>Struktura nákladů na zdravotní služby podle jednotlivých segmentů v přepočtu na 1</w:t>
      </w:r>
      <w:r w:rsidR="00252624">
        <w:rPr>
          <w:bCs/>
        </w:rPr>
        <w:t> </w:t>
      </w:r>
      <w:r w:rsidRPr="00AD2E56">
        <w:rPr>
          <w:bCs/>
        </w:rPr>
        <w:t>pojištěnce</w:t>
      </w:r>
    </w:p>
    <w:p w14:paraId="5C1BA4CC" w14:textId="77777777" w:rsidR="00F150BD" w:rsidRPr="00AD2E56" w:rsidRDefault="00F150BD" w:rsidP="00F150BD">
      <w:pPr>
        <w:spacing w:line="23" w:lineRule="atLeast"/>
        <w:ind w:left="2127" w:hanging="2127"/>
        <w:jc w:val="both"/>
        <w:rPr>
          <w:b/>
        </w:rPr>
      </w:pPr>
      <w:r w:rsidRPr="00AD2E56">
        <w:rPr>
          <w:b/>
        </w:rPr>
        <w:t>Tabulka č. 3b</w:t>
      </w:r>
      <w:r w:rsidRPr="00AD2E56">
        <w:rPr>
          <w:b/>
        </w:rPr>
        <w:tab/>
      </w:r>
      <w:r w:rsidRPr="00AD2E56">
        <w:rPr>
          <w:bCs/>
        </w:rPr>
        <w:t>Vývoj nákladů na léčení zahraničních pojištěnců v České republice</w:t>
      </w:r>
    </w:p>
    <w:p w14:paraId="2B8E1ED2" w14:textId="5366F76E" w:rsidR="00F150BD" w:rsidRPr="00AD2E56" w:rsidRDefault="00F150BD" w:rsidP="00F150BD">
      <w:pPr>
        <w:spacing w:line="23" w:lineRule="atLeast"/>
        <w:ind w:left="2127" w:hanging="2127"/>
        <w:jc w:val="both"/>
        <w:rPr>
          <w:b/>
        </w:rPr>
      </w:pPr>
      <w:r w:rsidRPr="00AD2E56">
        <w:rPr>
          <w:b/>
        </w:rPr>
        <w:t>Tabulka č. 3c</w:t>
      </w:r>
      <w:r w:rsidRPr="00AD2E56">
        <w:rPr>
          <w:b/>
        </w:rPr>
        <w:tab/>
      </w:r>
      <w:r w:rsidRPr="00AD2E56">
        <w:rPr>
          <w:bCs/>
        </w:rPr>
        <w:t>Náklady na preventivní zdravotní služby nad rámec v. z. p. hrazené z fondů prevence a</w:t>
      </w:r>
      <w:r w:rsidR="00252624">
        <w:rPr>
          <w:bCs/>
        </w:rPr>
        <w:t> </w:t>
      </w:r>
      <w:r w:rsidRPr="00AD2E56">
        <w:rPr>
          <w:bCs/>
        </w:rPr>
        <w:t>jiných fondů</w:t>
      </w:r>
    </w:p>
    <w:p w14:paraId="064129AC" w14:textId="2BE8681D" w:rsidR="00F150BD" w:rsidRPr="00AD2E56" w:rsidRDefault="00F150BD" w:rsidP="00F150BD">
      <w:pPr>
        <w:spacing w:line="23" w:lineRule="atLeast"/>
        <w:ind w:left="2127" w:hanging="2127"/>
        <w:jc w:val="both"/>
        <w:rPr>
          <w:b/>
        </w:rPr>
      </w:pPr>
      <w:r w:rsidRPr="00AD2E56">
        <w:rPr>
          <w:b/>
        </w:rPr>
        <w:t>Tabulka č. 4</w:t>
      </w:r>
      <w:r w:rsidRPr="00AD2E56">
        <w:rPr>
          <w:b/>
        </w:rPr>
        <w:tab/>
      </w:r>
      <w:r w:rsidRPr="00AD2E56">
        <w:rPr>
          <w:bCs/>
        </w:rPr>
        <w:t>Vývoj hospodaření systému veřejného zdravotního pojištění v letech 20</w:t>
      </w:r>
      <w:r w:rsidR="004D2376">
        <w:rPr>
          <w:bCs/>
        </w:rPr>
        <w:t>20</w:t>
      </w:r>
      <w:r w:rsidR="006405D6">
        <w:rPr>
          <w:bCs/>
        </w:rPr>
        <w:t>−</w:t>
      </w:r>
      <w:r w:rsidR="00191AF0">
        <w:rPr>
          <w:bCs/>
        </w:rPr>
        <w:t>202</w:t>
      </w:r>
      <w:r w:rsidR="00774720">
        <w:rPr>
          <w:bCs/>
        </w:rPr>
        <w:t>3</w:t>
      </w:r>
    </w:p>
    <w:p w14:paraId="012D5050" w14:textId="77777777" w:rsidR="00DA6B5E" w:rsidRDefault="00DA6B5E" w:rsidP="00DA6B5E">
      <w:pPr>
        <w:pStyle w:val="Zkladntextodsazen2"/>
      </w:pPr>
    </w:p>
    <w:p w14:paraId="426EB1C7" w14:textId="77777777" w:rsidR="00111366" w:rsidRDefault="00111366">
      <w:pPr>
        <w:spacing w:after="200" w:line="276" w:lineRule="auto"/>
      </w:pPr>
      <w:r>
        <w:br w:type="page"/>
      </w:r>
    </w:p>
    <w:p w14:paraId="2BA6F949" w14:textId="77777777" w:rsidR="00111366" w:rsidRPr="00AF37E6" w:rsidRDefault="00E453BE" w:rsidP="007327D1">
      <w:pPr>
        <w:pStyle w:val="Nadpis1"/>
      </w:pPr>
      <w:bookmarkStart w:id="88" w:name="_Toc169176593"/>
      <w:r w:rsidRPr="00E453BE">
        <w:t>Zkratky použité v textové části materiálu a tabulkových přílohách</w:t>
      </w:r>
      <w:bookmarkEnd w:id="88"/>
    </w:p>
    <w:p w14:paraId="14BACC2B" w14:textId="77777777" w:rsidR="00F150BD" w:rsidRPr="00AD2E56" w:rsidRDefault="00F150BD" w:rsidP="00F150BD">
      <w:pPr>
        <w:spacing w:line="23" w:lineRule="atLeast"/>
        <w:ind w:left="2127" w:hanging="2127"/>
        <w:jc w:val="both"/>
        <w:rPr>
          <w:bCs/>
        </w:rPr>
      </w:pPr>
      <w:r w:rsidRPr="00AD2E56">
        <w:rPr>
          <w:b/>
        </w:rPr>
        <w:t>AČR</w:t>
      </w:r>
      <w:r w:rsidRPr="00AD2E56">
        <w:rPr>
          <w:b/>
        </w:rPr>
        <w:tab/>
      </w:r>
      <w:r w:rsidRPr="00AD2E56">
        <w:rPr>
          <w:bCs/>
        </w:rPr>
        <w:t>Armáda České republiky</w:t>
      </w:r>
    </w:p>
    <w:p w14:paraId="5D3742F8" w14:textId="77777777" w:rsidR="00F150BD" w:rsidRPr="00AD2E56" w:rsidRDefault="00F150BD" w:rsidP="00F150BD">
      <w:pPr>
        <w:spacing w:line="23" w:lineRule="atLeast"/>
        <w:ind w:left="2127" w:hanging="2127"/>
        <w:jc w:val="both"/>
        <w:rPr>
          <w:b/>
        </w:rPr>
      </w:pPr>
      <w:r w:rsidRPr="00AD2E56">
        <w:rPr>
          <w:b/>
        </w:rPr>
        <w:t>BÚ</w:t>
      </w:r>
      <w:r w:rsidRPr="00AD2E56">
        <w:rPr>
          <w:b/>
        </w:rPr>
        <w:tab/>
      </w:r>
      <w:r w:rsidRPr="00AD2E56">
        <w:rPr>
          <w:bCs/>
        </w:rPr>
        <w:t>Bankovní účet (stavy zůstatků na bankovním účtu příslušného fondu, které v sobě zahrnují stav peněžních prostředků na běžném účtu, hodnoty v pokladnách i hodnoty peněz na cestě, případně i termínované vklady, případně i hodnoty cenných papírů příslušejících danému fondu)</w:t>
      </w:r>
    </w:p>
    <w:p w14:paraId="2C110A86" w14:textId="77777777" w:rsidR="00F150BD" w:rsidRPr="00AD2E56" w:rsidRDefault="00F150BD" w:rsidP="00F150BD">
      <w:pPr>
        <w:spacing w:line="23" w:lineRule="atLeast"/>
        <w:ind w:left="2127" w:hanging="2127"/>
        <w:jc w:val="both"/>
        <w:rPr>
          <w:bCs/>
        </w:rPr>
      </w:pPr>
      <w:r w:rsidRPr="00AD2E56">
        <w:rPr>
          <w:b/>
        </w:rPr>
        <w:t>Cizinci</w:t>
      </w:r>
      <w:r w:rsidRPr="00AD2E56">
        <w:rPr>
          <w:b/>
        </w:rPr>
        <w:tab/>
      </w:r>
      <w:r w:rsidRPr="00AD2E56">
        <w:rPr>
          <w:bCs/>
        </w:rPr>
        <w:t>pojištěnci jiných členských států EU, EHP, Švýcarské konfederace, popřípadě dalších států, se kterými ČR uzavřela mezinárodní smlouvu o sociálním zabezpečení</w:t>
      </w:r>
    </w:p>
    <w:p w14:paraId="24CD75C5" w14:textId="77777777" w:rsidR="00F150BD" w:rsidRPr="00AD2E56" w:rsidRDefault="00F150BD" w:rsidP="00F150BD">
      <w:pPr>
        <w:spacing w:line="23" w:lineRule="atLeast"/>
        <w:ind w:left="2127" w:hanging="2127"/>
        <w:jc w:val="both"/>
        <w:rPr>
          <w:bCs/>
        </w:rPr>
      </w:pPr>
      <w:r w:rsidRPr="00AD2E56">
        <w:rPr>
          <w:b/>
        </w:rPr>
        <w:t>CP</w:t>
      </w:r>
      <w:r w:rsidRPr="00AD2E56">
        <w:rPr>
          <w:b/>
        </w:rPr>
        <w:tab/>
      </w:r>
      <w:r w:rsidRPr="00AD2E56">
        <w:rPr>
          <w:bCs/>
        </w:rPr>
        <w:t>Cenné papíry</w:t>
      </w:r>
    </w:p>
    <w:p w14:paraId="2041CC01" w14:textId="173C0A86" w:rsidR="001C4F13" w:rsidRDefault="001C4F13" w:rsidP="00F150BD">
      <w:pPr>
        <w:spacing w:line="23" w:lineRule="atLeast"/>
        <w:ind w:left="2127" w:hanging="2127"/>
        <w:jc w:val="both"/>
        <w:rPr>
          <w:b/>
        </w:rPr>
      </w:pPr>
      <w:r w:rsidRPr="001C4F13">
        <w:rPr>
          <w:rFonts w:cstheme="minorHAnsi"/>
          <w:b/>
          <w:bCs/>
          <w:iCs/>
          <w:szCs w:val="21"/>
        </w:rPr>
        <w:t xml:space="preserve">CRP </w:t>
      </w:r>
      <w:r>
        <w:rPr>
          <w:rFonts w:cstheme="minorHAnsi"/>
          <w:iCs/>
          <w:szCs w:val="21"/>
        </w:rPr>
        <w:tab/>
      </w:r>
      <w:r w:rsidRPr="00691EF0">
        <w:rPr>
          <w:rFonts w:cstheme="minorHAnsi"/>
          <w:iCs/>
          <w:szCs w:val="21"/>
        </w:rPr>
        <w:t>Centrální regist</w:t>
      </w:r>
      <w:r>
        <w:rPr>
          <w:rFonts w:cstheme="minorHAnsi"/>
          <w:iCs/>
          <w:szCs w:val="21"/>
        </w:rPr>
        <w:t>r</w:t>
      </w:r>
      <w:r w:rsidRPr="00691EF0">
        <w:rPr>
          <w:rFonts w:cstheme="minorHAnsi"/>
          <w:iCs/>
          <w:szCs w:val="21"/>
        </w:rPr>
        <w:t xml:space="preserve"> pojištěnců</w:t>
      </w:r>
    </w:p>
    <w:p w14:paraId="792BDE28" w14:textId="33D57DA4" w:rsidR="00F150BD" w:rsidRPr="00AD2E56" w:rsidRDefault="00F150BD" w:rsidP="00F150BD">
      <w:pPr>
        <w:spacing w:line="23" w:lineRule="atLeast"/>
        <w:ind w:left="2127" w:hanging="2127"/>
        <w:jc w:val="both"/>
        <w:rPr>
          <w:b/>
        </w:rPr>
      </w:pPr>
      <w:r w:rsidRPr="00AD2E56">
        <w:rPr>
          <w:b/>
        </w:rPr>
        <w:t>ČLK</w:t>
      </w:r>
      <w:r w:rsidRPr="00AD2E56">
        <w:rPr>
          <w:b/>
        </w:rPr>
        <w:tab/>
      </w:r>
      <w:r w:rsidRPr="00AD2E56">
        <w:rPr>
          <w:bCs/>
        </w:rPr>
        <w:t>Česká lékařská komora</w:t>
      </w:r>
    </w:p>
    <w:p w14:paraId="22F68B56" w14:textId="77777777" w:rsidR="00F150BD" w:rsidRPr="00AD2E56" w:rsidRDefault="00F150BD" w:rsidP="00F150BD">
      <w:pPr>
        <w:spacing w:line="23" w:lineRule="atLeast"/>
        <w:ind w:left="2127" w:hanging="2127"/>
        <w:jc w:val="both"/>
        <w:rPr>
          <w:b/>
        </w:rPr>
      </w:pPr>
      <w:r w:rsidRPr="00AD2E56">
        <w:rPr>
          <w:b/>
        </w:rPr>
        <w:t>ČNB</w:t>
      </w:r>
      <w:r w:rsidRPr="00AD2E56">
        <w:rPr>
          <w:b/>
        </w:rPr>
        <w:tab/>
      </w:r>
      <w:r w:rsidRPr="00AD2E56">
        <w:rPr>
          <w:bCs/>
        </w:rPr>
        <w:t>Česká národní banka</w:t>
      </w:r>
      <w:r w:rsidRPr="00AD2E56">
        <w:rPr>
          <w:b/>
        </w:rPr>
        <w:t xml:space="preserve"> </w:t>
      </w:r>
    </w:p>
    <w:p w14:paraId="674C1DCF" w14:textId="77777777" w:rsidR="00F150BD" w:rsidRPr="00AD2E56" w:rsidRDefault="00F150BD" w:rsidP="00F150BD">
      <w:pPr>
        <w:spacing w:line="23" w:lineRule="atLeast"/>
        <w:ind w:left="2127" w:hanging="2127"/>
        <w:jc w:val="both"/>
        <w:rPr>
          <w:b/>
        </w:rPr>
      </w:pPr>
      <w:r w:rsidRPr="00AD2E56">
        <w:rPr>
          <w:b/>
        </w:rPr>
        <w:t xml:space="preserve">ČPZP </w:t>
      </w:r>
      <w:r w:rsidRPr="00AD2E56">
        <w:rPr>
          <w:b/>
        </w:rPr>
        <w:tab/>
      </w:r>
      <w:r w:rsidRPr="00AD2E56">
        <w:rPr>
          <w:bCs/>
        </w:rPr>
        <w:t>Česká průmyslová zdravotní pojišťovna</w:t>
      </w:r>
    </w:p>
    <w:p w14:paraId="6E20778C" w14:textId="77777777" w:rsidR="00F150BD" w:rsidRPr="00AD2E56" w:rsidRDefault="00F150BD" w:rsidP="00F150BD">
      <w:pPr>
        <w:spacing w:line="23" w:lineRule="atLeast"/>
        <w:ind w:left="2127" w:hanging="2127"/>
        <w:jc w:val="both"/>
        <w:rPr>
          <w:bCs/>
        </w:rPr>
      </w:pPr>
      <w:r w:rsidRPr="00AD2E56">
        <w:rPr>
          <w:b/>
        </w:rPr>
        <w:t>ČR</w:t>
      </w:r>
      <w:r w:rsidRPr="00AD2E56">
        <w:rPr>
          <w:b/>
        </w:rPr>
        <w:tab/>
      </w:r>
      <w:r w:rsidRPr="00AD2E56">
        <w:rPr>
          <w:bCs/>
        </w:rPr>
        <w:t>Česká republika</w:t>
      </w:r>
    </w:p>
    <w:p w14:paraId="6E971E88" w14:textId="77777777" w:rsidR="00F150BD" w:rsidRPr="00AD2E56" w:rsidRDefault="00F150BD" w:rsidP="00F150BD">
      <w:pPr>
        <w:spacing w:line="23" w:lineRule="atLeast"/>
        <w:ind w:left="2127" w:hanging="2127"/>
        <w:jc w:val="both"/>
        <w:rPr>
          <w:b/>
        </w:rPr>
      </w:pPr>
      <w:r w:rsidRPr="00AD2E56">
        <w:rPr>
          <w:b/>
        </w:rPr>
        <w:t>ČSÚ</w:t>
      </w:r>
      <w:r w:rsidRPr="00AD2E56">
        <w:rPr>
          <w:b/>
        </w:rPr>
        <w:tab/>
      </w:r>
      <w:r w:rsidRPr="00AD2E56">
        <w:rPr>
          <w:bCs/>
        </w:rPr>
        <w:t>Český statistický úřad</w:t>
      </w:r>
    </w:p>
    <w:p w14:paraId="367B3E2B" w14:textId="77777777" w:rsidR="00F150BD" w:rsidRPr="00AD2E56" w:rsidRDefault="00F150BD" w:rsidP="00F150BD">
      <w:pPr>
        <w:spacing w:line="23" w:lineRule="atLeast"/>
        <w:ind w:left="2127" w:hanging="2127"/>
        <w:jc w:val="both"/>
        <w:rPr>
          <w:bCs/>
        </w:rPr>
      </w:pPr>
      <w:r w:rsidRPr="00AD2E56">
        <w:rPr>
          <w:b/>
        </w:rPr>
        <w:t>DR</w:t>
      </w:r>
      <w:r w:rsidRPr="00AD2E56">
        <w:rPr>
          <w:b/>
        </w:rPr>
        <w:tab/>
      </w:r>
      <w:r w:rsidRPr="00AD2E56">
        <w:rPr>
          <w:bCs/>
        </w:rPr>
        <w:t>Dozorčí rada</w:t>
      </w:r>
    </w:p>
    <w:p w14:paraId="310CCDB7" w14:textId="77777777" w:rsidR="00F150BD" w:rsidRPr="00AD2E56" w:rsidRDefault="00F150BD" w:rsidP="00F150BD">
      <w:pPr>
        <w:spacing w:line="23" w:lineRule="atLeast"/>
        <w:ind w:left="2127" w:hanging="2127"/>
        <w:jc w:val="both"/>
        <w:rPr>
          <w:bCs/>
        </w:rPr>
      </w:pPr>
      <w:r w:rsidRPr="00AD2E56">
        <w:rPr>
          <w:b/>
        </w:rPr>
        <w:t>DRG</w:t>
      </w:r>
      <w:r w:rsidRPr="00AD2E56">
        <w:rPr>
          <w:b/>
        </w:rPr>
        <w:tab/>
      </w:r>
      <w:r w:rsidRPr="00AD2E56">
        <w:rPr>
          <w:bCs/>
        </w:rPr>
        <w:t>Platba za diagnostické skupiny (Diagnosis Related Group)</w:t>
      </w:r>
    </w:p>
    <w:p w14:paraId="533CB401" w14:textId="77777777" w:rsidR="00F150BD" w:rsidRPr="00AD2E56" w:rsidRDefault="00F150BD" w:rsidP="00F150BD">
      <w:pPr>
        <w:spacing w:line="23" w:lineRule="atLeast"/>
        <w:ind w:left="2127" w:hanging="2127"/>
        <w:jc w:val="both"/>
        <w:rPr>
          <w:bCs/>
        </w:rPr>
      </w:pPr>
      <w:r w:rsidRPr="00AD2E56">
        <w:rPr>
          <w:b/>
        </w:rPr>
        <w:t>EU</w:t>
      </w:r>
      <w:r w:rsidRPr="00AD2E56">
        <w:rPr>
          <w:b/>
        </w:rPr>
        <w:tab/>
      </w:r>
      <w:r w:rsidRPr="00AD2E56">
        <w:rPr>
          <w:bCs/>
        </w:rPr>
        <w:t xml:space="preserve">Evropská unie </w:t>
      </w:r>
    </w:p>
    <w:p w14:paraId="5AD271FD" w14:textId="77777777" w:rsidR="00F150BD" w:rsidRPr="00AD2E56" w:rsidRDefault="00F150BD" w:rsidP="00F150BD">
      <w:pPr>
        <w:spacing w:line="23" w:lineRule="atLeast"/>
        <w:ind w:left="2127" w:hanging="2127"/>
        <w:jc w:val="both"/>
        <w:rPr>
          <w:bCs/>
        </w:rPr>
      </w:pPr>
      <w:r w:rsidRPr="00AD2E56">
        <w:rPr>
          <w:b/>
        </w:rPr>
        <w:t>FPÚPP</w:t>
      </w:r>
      <w:r w:rsidRPr="00AD2E56">
        <w:rPr>
          <w:b/>
        </w:rPr>
        <w:tab/>
      </w:r>
      <w:r w:rsidRPr="00AD2E56">
        <w:rPr>
          <w:bCs/>
        </w:rPr>
        <w:t>Fond pro úhradu preventivní péče (pouze Vojenská zdravotní pojišťovna ČR)</w:t>
      </w:r>
    </w:p>
    <w:p w14:paraId="566BD8C4" w14:textId="77777777" w:rsidR="00F150BD" w:rsidRPr="00AD2E56" w:rsidRDefault="00F150BD" w:rsidP="00F150BD">
      <w:pPr>
        <w:spacing w:line="23" w:lineRule="atLeast"/>
        <w:ind w:left="2127" w:hanging="2127"/>
        <w:jc w:val="both"/>
        <w:rPr>
          <w:b/>
        </w:rPr>
      </w:pPr>
      <w:r w:rsidRPr="00AD2E56">
        <w:rPr>
          <w:b/>
        </w:rPr>
        <w:t>FZÚZP</w:t>
      </w:r>
      <w:r w:rsidRPr="00AD2E56">
        <w:rPr>
          <w:b/>
        </w:rPr>
        <w:tab/>
      </w:r>
      <w:r w:rsidRPr="00AD2E56">
        <w:rPr>
          <w:bCs/>
        </w:rPr>
        <w:t>Fond zprostředkování úhrady zdravotní péče (pouze Vojenská zdravotní pojišťovna ČR)</w:t>
      </w:r>
    </w:p>
    <w:p w14:paraId="0267B997" w14:textId="77777777" w:rsidR="00F150BD" w:rsidRPr="00AD2E56" w:rsidRDefault="00F150BD" w:rsidP="00F150BD">
      <w:pPr>
        <w:spacing w:line="23" w:lineRule="atLeast"/>
        <w:ind w:left="2127" w:hanging="2127"/>
        <w:jc w:val="both"/>
        <w:rPr>
          <w:bCs/>
        </w:rPr>
      </w:pPr>
      <w:r w:rsidRPr="00AD2E56">
        <w:rPr>
          <w:b/>
        </w:rPr>
        <w:t>Fprev</w:t>
      </w:r>
      <w:r w:rsidRPr="00AD2E56">
        <w:rPr>
          <w:b/>
        </w:rPr>
        <w:tab/>
      </w:r>
      <w:r w:rsidRPr="00AD2E56">
        <w:rPr>
          <w:bCs/>
        </w:rPr>
        <w:t>Fond prevence</w:t>
      </w:r>
    </w:p>
    <w:p w14:paraId="604775EC" w14:textId="77777777" w:rsidR="00F150BD" w:rsidRPr="00AD2E56" w:rsidRDefault="00F150BD" w:rsidP="00F150BD">
      <w:pPr>
        <w:spacing w:line="23" w:lineRule="atLeast"/>
        <w:ind w:left="2127" w:hanging="2127"/>
        <w:jc w:val="both"/>
        <w:rPr>
          <w:b/>
        </w:rPr>
      </w:pPr>
      <w:r w:rsidRPr="00AD2E56">
        <w:rPr>
          <w:b/>
        </w:rPr>
        <w:t>FRM</w:t>
      </w:r>
      <w:r w:rsidRPr="00AD2E56">
        <w:rPr>
          <w:b/>
        </w:rPr>
        <w:tab/>
      </w:r>
      <w:r w:rsidRPr="00AD2E56">
        <w:rPr>
          <w:bCs/>
        </w:rPr>
        <w:t>Fond reprodukce majetku</w:t>
      </w:r>
    </w:p>
    <w:p w14:paraId="3083D50D" w14:textId="77777777" w:rsidR="00F150BD" w:rsidRPr="00AD2E56" w:rsidRDefault="00F150BD" w:rsidP="00F150BD">
      <w:pPr>
        <w:spacing w:line="23" w:lineRule="atLeast"/>
        <w:ind w:left="2127" w:hanging="2127"/>
        <w:jc w:val="both"/>
        <w:rPr>
          <w:b/>
        </w:rPr>
      </w:pPr>
      <w:r w:rsidRPr="00AD2E56">
        <w:rPr>
          <w:b/>
        </w:rPr>
        <w:t>HVLP</w:t>
      </w:r>
      <w:r w:rsidRPr="00AD2E56">
        <w:rPr>
          <w:b/>
        </w:rPr>
        <w:tab/>
      </w:r>
      <w:r w:rsidRPr="00AD2E56">
        <w:rPr>
          <w:bCs/>
        </w:rPr>
        <w:t>Hromadně vyráběné léčivé přípravky</w:t>
      </w:r>
    </w:p>
    <w:p w14:paraId="4C9116EF" w14:textId="77777777" w:rsidR="00F150BD" w:rsidRPr="00AD2E56" w:rsidRDefault="00F150BD" w:rsidP="00F150BD">
      <w:pPr>
        <w:spacing w:line="23" w:lineRule="atLeast"/>
        <w:ind w:left="2127" w:hanging="2127"/>
        <w:jc w:val="both"/>
        <w:rPr>
          <w:b/>
        </w:rPr>
      </w:pPr>
      <w:r w:rsidRPr="00AD2E56">
        <w:rPr>
          <w:b/>
        </w:rPr>
        <w:t>HZZP</w:t>
      </w:r>
      <w:r w:rsidRPr="00AD2E56">
        <w:rPr>
          <w:b/>
        </w:rPr>
        <w:tab/>
      </w:r>
      <w:r w:rsidRPr="00AD2E56">
        <w:rPr>
          <w:bCs/>
        </w:rPr>
        <w:t>Hornická zaměstnanecká zdravotní pojišťovna „v likvidaci“</w:t>
      </w:r>
    </w:p>
    <w:p w14:paraId="7529A60A" w14:textId="77777777" w:rsidR="00F150BD" w:rsidRPr="00AD2E56" w:rsidRDefault="00F150BD" w:rsidP="00F150BD">
      <w:pPr>
        <w:spacing w:line="23" w:lineRule="atLeast"/>
        <w:ind w:left="2127" w:hanging="2127"/>
        <w:jc w:val="both"/>
        <w:rPr>
          <w:bCs/>
        </w:rPr>
      </w:pPr>
      <w:r w:rsidRPr="00AD2E56">
        <w:rPr>
          <w:b/>
        </w:rPr>
        <w:t>IS</w:t>
      </w:r>
      <w:r w:rsidRPr="00AD2E56">
        <w:rPr>
          <w:b/>
        </w:rPr>
        <w:tab/>
      </w:r>
      <w:r w:rsidRPr="00AD2E56">
        <w:rPr>
          <w:bCs/>
        </w:rPr>
        <w:t>Informační systém</w:t>
      </w:r>
    </w:p>
    <w:p w14:paraId="59D3B7F4" w14:textId="77777777" w:rsidR="00F150BD" w:rsidRDefault="00F150BD" w:rsidP="00F150BD">
      <w:pPr>
        <w:spacing w:line="23" w:lineRule="atLeast"/>
        <w:ind w:left="2127" w:hanging="2127"/>
        <w:jc w:val="both"/>
        <w:rPr>
          <w:b/>
        </w:rPr>
      </w:pPr>
      <w:r w:rsidRPr="00590358">
        <w:rPr>
          <w:b/>
        </w:rPr>
        <w:t>JČ</w:t>
      </w:r>
      <w:r w:rsidRPr="00590358">
        <w:rPr>
          <w:b/>
        </w:rPr>
        <w:tab/>
      </w:r>
      <w:r w:rsidRPr="00590358">
        <w:rPr>
          <w:bCs/>
        </w:rPr>
        <w:t>Jiná činnost</w:t>
      </w:r>
      <w:r>
        <w:rPr>
          <w:b/>
        </w:rPr>
        <w:t xml:space="preserve"> </w:t>
      </w:r>
    </w:p>
    <w:p w14:paraId="2A450241" w14:textId="77777777" w:rsidR="00F150BD" w:rsidRPr="00AD2E56" w:rsidRDefault="00F150BD" w:rsidP="00F150BD">
      <w:pPr>
        <w:spacing w:line="23" w:lineRule="atLeast"/>
        <w:ind w:left="2127" w:hanging="2127"/>
        <w:jc w:val="both"/>
        <w:rPr>
          <w:b/>
        </w:rPr>
      </w:pPr>
      <w:r w:rsidRPr="00AD2E56">
        <w:rPr>
          <w:b/>
        </w:rPr>
        <w:t>LDN</w:t>
      </w:r>
      <w:r w:rsidRPr="00AD2E56">
        <w:rPr>
          <w:b/>
        </w:rPr>
        <w:tab/>
      </w:r>
      <w:r w:rsidRPr="00AD2E56">
        <w:rPr>
          <w:bCs/>
        </w:rPr>
        <w:t>Samostatní poskytovatelé zdravotních služeb vykazující kód ošetřovacího dne 00024 (Léčebny dlouhodobě nemocných)</w:t>
      </w:r>
    </w:p>
    <w:p w14:paraId="34743FB2" w14:textId="77777777" w:rsidR="00F150BD" w:rsidRPr="00AD2E56" w:rsidRDefault="00F150BD" w:rsidP="00F150BD">
      <w:pPr>
        <w:spacing w:line="23" w:lineRule="atLeast"/>
        <w:ind w:left="2127" w:hanging="2127"/>
        <w:jc w:val="both"/>
        <w:rPr>
          <w:b/>
        </w:rPr>
      </w:pPr>
      <w:r w:rsidRPr="00AD2E56">
        <w:rPr>
          <w:b/>
        </w:rPr>
        <w:t>LSPP</w:t>
      </w:r>
      <w:r w:rsidRPr="00AD2E56">
        <w:rPr>
          <w:b/>
        </w:rPr>
        <w:tab/>
      </w:r>
      <w:r w:rsidRPr="00AD2E56">
        <w:rPr>
          <w:bCs/>
        </w:rPr>
        <w:t>Lékařská služba první pomoci</w:t>
      </w:r>
    </w:p>
    <w:p w14:paraId="21F00D40" w14:textId="5644B62D" w:rsidR="001C4F13" w:rsidRDefault="001C4F13" w:rsidP="001C4F13">
      <w:pPr>
        <w:spacing w:after="200" w:line="276" w:lineRule="auto"/>
        <w:ind w:left="2127" w:hanging="2127"/>
        <w:rPr>
          <w:rFonts w:cstheme="minorHAnsi"/>
          <w:color w:val="000000"/>
          <w:szCs w:val="21"/>
        </w:rPr>
      </w:pPr>
      <w:r w:rsidRPr="001C4F13">
        <w:rPr>
          <w:rFonts w:cstheme="minorHAnsi"/>
          <w:b/>
          <w:bCs/>
          <w:color w:val="000000"/>
          <w:szCs w:val="21"/>
        </w:rPr>
        <w:t>M / K</w:t>
      </w:r>
      <w:r w:rsidRPr="006B037A">
        <w:rPr>
          <w:rFonts w:cstheme="minorHAnsi"/>
          <w:color w:val="000000"/>
          <w:szCs w:val="21"/>
        </w:rPr>
        <w:t xml:space="preserve"> </w:t>
      </w:r>
      <w:r>
        <w:rPr>
          <w:rFonts w:cstheme="minorHAnsi"/>
          <w:color w:val="000000"/>
          <w:szCs w:val="21"/>
        </w:rPr>
        <w:tab/>
      </w:r>
      <w:r w:rsidRPr="006B037A">
        <w:rPr>
          <w:rFonts w:cstheme="minorHAnsi"/>
          <w:color w:val="000000"/>
          <w:szCs w:val="21"/>
        </w:rPr>
        <w:t>činnosti ZP</w:t>
      </w:r>
      <w:r>
        <w:rPr>
          <w:rFonts w:cstheme="minorHAnsi"/>
          <w:color w:val="000000"/>
          <w:szCs w:val="21"/>
        </w:rPr>
        <w:t xml:space="preserve"> </w:t>
      </w:r>
      <w:r w:rsidRPr="006B037A">
        <w:rPr>
          <w:rFonts w:cstheme="minorHAnsi"/>
          <w:color w:val="000000"/>
          <w:szCs w:val="21"/>
        </w:rPr>
        <w:t>MV</w:t>
      </w:r>
      <w:r>
        <w:rPr>
          <w:rFonts w:cstheme="minorHAnsi"/>
          <w:color w:val="000000"/>
          <w:szCs w:val="21"/>
        </w:rPr>
        <w:t xml:space="preserve"> ČR</w:t>
      </w:r>
      <w:r w:rsidRPr="006B037A">
        <w:rPr>
          <w:rFonts w:cstheme="minorHAnsi"/>
          <w:color w:val="000000"/>
          <w:szCs w:val="21"/>
        </w:rPr>
        <w:t xml:space="preserve"> v oblasti marketingu, propagace a komunikace </w:t>
      </w:r>
    </w:p>
    <w:p w14:paraId="250DB849" w14:textId="136AA0DF" w:rsidR="0038373F" w:rsidRDefault="0038373F" w:rsidP="001C4F13">
      <w:pPr>
        <w:spacing w:after="200" w:line="276" w:lineRule="auto"/>
        <w:ind w:left="2127" w:hanging="2127"/>
        <w:rPr>
          <w:rFonts w:cstheme="minorHAnsi"/>
          <w:color w:val="000000"/>
          <w:szCs w:val="21"/>
        </w:rPr>
      </w:pPr>
      <w:r>
        <w:rPr>
          <w:rFonts w:cstheme="minorHAnsi"/>
          <w:b/>
          <w:bCs/>
          <w:color w:val="000000"/>
          <w:szCs w:val="21"/>
        </w:rPr>
        <w:t>MČD ZS</w:t>
      </w:r>
      <w:r>
        <w:rPr>
          <w:rFonts w:cstheme="minorHAnsi"/>
          <w:b/>
          <w:bCs/>
          <w:color w:val="000000"/>
          <w:szCs w:val="21"/>
        </w:rPr>
        <w:tab/>
      </w:r>
      <w:r w:rsidRPr="00584515">
        <w:rPr>
          <w:rFonts w:cstheme="minorHAnsi"/>
          <w:bCs/>
          <w:szCs w:val="21"/>
        </w:rPr>
        <w:t>místní a časov</w:t>
      </w:r>
      <w:r>
        <w:rPr>
          <w:rFonts w:cstheme="minorHAnsi"/>
          <w:bCs/>
          <w:szCs w:val="21"/>
        </w:rPr>
        <w:t>á</w:t>
      </w:r>
      <w:r w:rsidRPr="00584515">
        <w:rPr>
          <w:rFonts w:cstheme="minorHAnsi"/>
          <w:bCs/>
          <w:szCs w:val="21"/>
        </w:rPr>
        <w:t xml:space="preserve"> dostupnost hrazených služeb</w:t>
      </w:r>
    </w:p>
    <w:p w14:paraId="6ABC5F76" w14:textId="436E8FE0" w:rsidR="00F150BD" w:rsidRPr="00AD2E56" w:rsidRDefault="00F150BD" w:rsidP="00F150BD">
      <w:pPr>
        <w:spacing w:line="23" w:lineRule="atLeast"/>
        <w:ind w:left="2127" w:hanging="2127"/>
        <w:jc w:val="both"/>
        <w:rPr>
          <w:b/>
        </w:rPr>
      </w:pPr>
      <w:r w:rsidRPr="00AD2E56">
        <w:rPr>
          <w:b/>
        </w:rPr>
        <w:t>MeZP</w:t>
      </w:r>
      <w:r w:rsidRPr="00AD2E56">
        <w:rPr>
          <w:b/>
        </w:rPr>
        <w:tab/>
      </w:r>
      <w:r w:rsidRPr="00AD2E56">
        <w:rPr>
          <w:bCs/>
        </w:rPr>
        <w:t>Mendlova zdravotní pojišťovna „v likvidaci“</w:t>
      </w:r>
    </w:p>
    <w:p w14:paraId="57A71CDD" w14:textId="77777777" w:rsidR="00F150BD" w:rsidRPr="00AD2E56" w:rsidRDefault="00F150BD" w:rsidP="00F150BD">
      <w:pPr>
        <w:spacing w:line="23" w:lineRule="atLeast"/>
        <w:ind w:left="2127" w:hanging="2127"/>
        <w:jc w:val="both"/>
        <w:rPr>
          <w:b/>
        </w:rPr>
      </w:pPr>
      <w:r w:rsidRPr="00AD2E56">
        <w:rPr>
          <w:b/>
        </w:rPr>
        <w:t>MF</w:t>
      </w:r>
      <w:r w:rsidRPr="00AD2E56">
        <w:rPr>
          <w:b/>
        </w:rPr>
        <w:tab/>
      </w:r>
      <w:r w:rsidRPr="00AD2E56">
        <w:rPr>
          <w:bCs/>
        </w:rPr>
        <w:t>Ministerstvo financí</w:t>
      </w:r>
    </w:p>
    <w:p w14:paraId="410B32CF" w14:textId="77777777" w:rsidR="00F150BD" w:rsidRPr="00AD2E56" w:rsidRDefault="00F150BD" w:rsidP="00F150BD">
      <w:pPr>
        <w:spacing w:line="23" w:lineRule="atLeast"/>
        <w:ind w:left="2127" w:hanging="2127"/>
        <w:jc w:val="both"/>
        <w:rPr>
          <w:bCs/>
        </w:rPr>
      </w:pPr>
      <w:r w:rsidRPr="00AD2E56">
        <w:rPr>
          <w:b/>
        </w:rPr>
        <w:t>MO</w:t>
      </w:r>
      <w:r w:rsidRPr="00AD2E56">
        <w:rPr>
          <w:b/>
        </w:rPr>
        <w:tab/>
      </w:r>
      <w:r w:rsidRPr="00AD2E56">
        <w:rPr>
          <w:bCs/>
        </w:rPr>
        <w:t>Ministerstvo obrany</w:t>
      </w:r>
    </w:p>
    <w:p w14:paraId="65A917F2" w14:textId="77777777" w:rsidR="00F150BD" w:rsidRPr="00AD2E56" w:rsidRDefault="00F150BD" w:rsidP="00F150BD">
      <w:pPr>
        <w:spacing w:line="23" w:lineRule="atLeast"/>
        <w:ind w:left="2127" w:hanging="2127"/>
        <w:jc w:val="both"/>
        <w:rPr>
          <w:bCs/>
        </w:rPr>
      </w:pPr>
      <w:r w:rsidRPr="00AD2E56">
        <w:rPr>
          <w:b/>
        </w:rPr>
        <w:t>MPSV</w:t>
      </w:r>
      <w:r w:rsidRPr="00AD2E56">
        <w:rPr>
          <w:b/>
        </w:rPr>
        <w:tab/>
      </w:r>
      <w:r w:rsidRPr="00AD2E56">
        <w:rPr>
          <w:bCs/>
        </w:rPr>
        <w:t>Ministerstvo práce a sociálních věcí</w:t>
      </w:r>
    </w:p>
    <w:p w14:paraId="23089C92" w14:textId="77777777" w:rsidR="00F150BD" w:rsidRPr="00AD2E56" w:rsidRDefault="00F150BD" w:rsidP="00F150BD">
      <w:pPr>
        <w:spacing w:line="23" w:lineRule="atLeast"/>
        <w:ind w:left="2127" w:hanging="2127"/>
        <w:jc w:val="both"/>
        <w:rPr>
          <w:bCs/>
        </w:rPr>
      </w:pPr>
      <w:r w:rsidRPr="00AD2E56">
        <w:rPr>
          <w:b/>
        </w:rPr>
        <w:t>MV</w:t>
      </w:r>
      <w:r w:rsidRPr="00AD2E56">
        <w:rPr>
          <w:b/>
        </w:rPr>
        <w:tab/>
      </w:r>
      <w:r w:rsidRPr="00AD2E56">
        <w:rPr>
          <w:bCs/>
        </w:rPr>
        <w:t>Ministerstvo vnitra</w:t>
      </w:r>
    </w:p>
    <w:p w14:paraId="1C6B57F8" w14:textId="77777777" w:rsidR="00F150BD" w:rsidRPr="00AD2E56" w:rsidRDefault="00F150BD" w:rsidP="00F150BD">
      <w:pPr>
        <w:spacing w:line="23" w:lineRule="atLeast"/>
        <w:ind w:left="2127" w:hanging="2127"/>
        <w:jc w:val="both"/>
        <w:rPr>
          <w:bCs/>
        </w:rPr>
      </w:pPr>
      <w:r w:rsidRPr="00AD2E56">
        <w:rPr>
          <w:b/>
        </w:rPr>
        <w:t>MZ</w:t>
      </w:r>
      <w:r w:rsidRPr="00AD2E56">
        <w:rPr>
          <w:b/>
        </w:rPr>
        <w:tab/>
      </w:r>
      <w:r w:rsidRPr="00AD2E56">
        <w:rPr>
          <w:bCs/>
        </w:rPr>
        <w:t>Ministerstvo zdravotnictví</w:t>
      </w:r>
    </w:p>
    <w:p w14:paraId="5D1A9125" w14:textId="77777777" w:rsidR="00F150BD" w:rsidRPr="00AD2E56" w:rsidRDefault="00F150BD" w:rsidP="00F150BD">
      <w:pPr>
        <w:spacing w:line="23" w:lineRule="atLeast"/>
        <w:ind w:left="2127" w:hanging="2127"/>
        <w:jc w:val="both"/>
        <w:rPr>
          <w:b/>
        </w:rPr>
      </w:pPr>
      <w:r w:rsidRPr="00AD2E56">
        <w:rPr>
          <w:b/>
        </w:rPr>
        <w:t>NKÚ</w:t>
      </w:r>
      <w:r w:rsidRPr="00AD2E56">
        <w:rPr>
          <w:b/>
        </w:rPr>
        <w:tab/>
      </w:r>
      <w:r w:rsidRPr="00AD2E56">
        <w:rPr>
          <w:bCs/>
        </w:rPr>
        <w:t>Nejvyšší kontrolní úřad</w:t>
      </w:r>
    </w:p>
    <w:p w14:paraId="5F3F204A" w14:textId="77777777" w:rsidR="00F150BD" w:rsidRPr="00AD2E56" w:rsidRDefault="00F150BD" w:rsidP="00F150BD">
      <w:pPr>
        <w:spacing w:line="23" w:lineRule="atLeast"/>
        <w:ind w:left="2127" w:hanging="2127"/>
        <w:jc w:val="both"/>
        <w:rPr>
          <w:b/>
        </w:rPr>
      </w:pPr>
      <w:r w:rsidRPr="00AD2E56">
        <w:rPr>
          <w:b/>
        </w:rPr>
        <w:t>OBZP</w:t>
      </w:r>
      <w:r w:rsidRPr="00AD2E56">
        <w:rPr>
          <w:b/>
        </w:rPr>
        <w:tab/>
      </w:r>
      <w:r w:rsidRPr="00AD2E56">
        <w:rPr>
          <w:bCs/>
        </w:rPr>
        <w:t>Osoby bez zdanitelných příjmů</w:t>
      </w:r>
    </w:p>
    <w:p w14:paraId="13C6ADA6" w14:textId="77777777" w:rsidR="00F150BD" w:rsidRPr="00AD2E56" w:rsidRDefault="00F150BD" w:rsidP="00F150BD">
      <w:pPr>
        <w:spacing w:line="23" w:lineRule="atLeast"/>
        <w:ind w:left="2127" w:hanging="2127"/>
        <w:jc w:val="both"/>
        <w:rPr>
          <w:bCs/>
        </w:rPr>
      </w:pPr>
      <w:r w:rsidRPr="00AD2E56">
        <w:rPr>
          <w:b/>
        </w:rPr>
        <w:t>OLÚ</w:t>
      </w:r>
      <w:r w:rsidRPr="00AD2E56">
        <w:rPr>
          <w:b/>
        </w:rPr>
        <w:tab/>
      </w:r>
      <w:r w:rsidRPr="00AD2E56">
        <w:rPr>
          <w:bCs/>
        </w:rPr>
        <w:t>Poskytovatelé lůžkové následné péče OD 00021, OD 00022, OD 00023, OD 00025, OD 00026, OD 00027, OD 00028 (Odborné léčebné ústavy)</w:t>
      </w:r>
    </w:p>
    <w:p w14:paraId="480068F5" w14:textId="77777777" w:rsidR="00F150BD" w:rsidRPr="00AD2E56" w:rsidRDefault="00F150BD" w:rsidP="00F150BD">
      <w:pPr>
        <w:spacing w:line="23" w:lineRule="atLeast"/>
        <w:ind w:left="2127" w:hanging="2127"/>
        <w:jc w:val="both"/>
        <w:rPr>
          <w:bCs/>
        </w:rPr>
      </w:pPr>
      <w:r w:rsidRPr="00AD2E56">
        <w:rPr>
          <w:b/>
        </w:rPr>
        <w:t xml:space="preserve">OSVČ </w:t>
      </w:r>
      <w:r w:rsidRPr="00AD2E56">
        <w:rPr>
          <w:b/>
        </w:rPr>
        <w:tab/>
      </w:r>
      <w:r w:rsidRPr="00AD2E56">
        <w:rPr>
          <w:bCs/>
        </w:rPr>
        <w:t xml:space="preserve">Osoby samostatně výdělečně činné </w:t>
      </w:r>
    </w:p>
    <w:p w14:paraId="52C76CEC" w14:textId="77777777" w:rsidR="00F150BD" w:rsidRPr="00AD2E56" w:rsidRDefault="00F150BD" w:rsidP="00F150BD">
      <w:pPr>
        <w:spacing w:line="23" w:lineRule="atLeast"/>
        <w:ind w:left="2127" w:hanging="2127"/>
        <w:jc w:val="both"/>
        <w:rPr>
          <w:b/>
        </w:rPr>
      </w:pPr>
      <w:r w:rsidRPr="00AD2E56">
        <w:rPr>
          <w:b/>
        </w:rPr>
        <w:t xml:space="preserve">OZP </w:t>
      </w:r>
      <w:r w:rsidRPr="00AD2E56">
        <w:rPr>
          <w:b/>
        </w:rPr>
        <w:tab/>
      </w:r>
      <w:r w:rsidRPr="00AD2E56">
        <w:rPr>
          <w:bCs/>
        </w:rPr>
        <w:t>Oborová zdravotní pojišťovna zaměstnanců bank, pojišťoven a stavebnictví</w:t>
      </w:r>
    </w:p>
    <w:p w14:paraId="47AA857B" w14:textId="77777777" w:rsidR="00F150BD" w:rsidRPr="00AD2E56" w:rsidRDefault="00F150BD" w:rsidP="00F150BD">
      <w:pPr>
        <w:spacing w:line="23" w:lineRule="atLeast"/>
        <w:ind w:left="2127" w:hanging="2127"/>
        <w:jc w:val="both"/>
        <w:rPr>
          <w:b/>
        </w:rPr>
      </w:pPr>
      <w:r w:rsidRPr="00AD2E56">
        <w:rPr>
          <w:b/>
        </w:rPr>
        <w:t xml:space="preserve">Platba státu </w:t>
      </w:r>
      <w:r w:rsidRPr="00AD2E56">
        <w:rPr>
          <w:b/>
        </w:rPr>
        <w:tab/>
      </w:r>
      <w:r w:rsidRPr="00AD2E56">
        <w:rPr>
          <w:bCs/>
        </w:rPr>
        <w:t>Pojistné hrazené státem za osobu, za kterou je podle § 7 zákona č. 48/1997 Sb. plátcem pojistného stát. Podle § 3c zákona č. 592/1992 Sb. je stanoven měsíční vyměřovací základ, procentní výši pojistného upravuje § 2 tohoto zákona. Platba státu je poskytována podle § 12 měsíčně na zvláštní účet přerozdělování.</w:t>
      </w:r>
    </w:p>
    <w:p w14:paraId="73CFA12A" w14:textId="77777777" w:rsidR="00F150BD" w:rsidRPr="00AD2E56" w:rsidRDefault="00F150BD" w:rsidP="00F150BD">
      <w:pPr>
        <w:spacing w:line="23" w:lineRule="atLeast"/>
        <w:ind w:left="2127" w:hanging="2127"/>
        <w:jc w:val="both"/>
        <w:rPr>
          <w:bCs/>
        </w:rPr>
      </w:pPr>
      <w:r w:rsidRPr="00AD2E56">
        <w:rPr>
          <w:b/>
        </w:rPr>
        <w:t>p. b.</w:t>
      </w:r>
      <w:r w:rsidRPr="00AD2E56">
        <w:rPr>
          <w:b/>
        </w:rPr>
        <w:tab/>
      </w:r>
      <w:r w:rsidRPr="00AD2E56">
        <w:rPr>
          <w:bCs/>
        </w:rPr>
        <w:t>Procentní bod</w:t>
      </w:r>
    </w:p>
    <w:p w14:paraId="7F66AE28" w14:textId="77777777" w:rsidR="00F150BD" w:rsidRPr="00AD2E56" w:rsidRDefault="00F150BD" w:rsidP="00F150BD">
      <w:pPr>
        <w:spacing w:line="23" w:lineRule="atLeast"/>
        <w:ind w:left="2127" w:hanging="2127"/>
        <w:jc w:val="both"/>
        <w:rPr>
          <w:bCs/>
        </w:rPr>
      </w:pPr>
      <w:r w:rsidRPr="00AD2E56">
        <w:rPr>
          <w:b/>
        </w:rPr>
        <w:t>PF</w:t>
      </w:r>
      <w:r w:rsidRPr="00AD2E56">
        <w:rPr>
          <w:b/>
        </w:rPr>
        <w:tab/>
      </w:r>
      <w:r w:rsidRPr="00AD2E56">
        <w:rPr>
          <w:bCs/>
        </w:rPr>
        <w:t>Provozní fond</w:t>
      </w:r>
    </w:p>
    <w:p w14:paraId="213435EF" w14:textId="77777777" w:rsidR="00F150BD" w:rsidRPr="00AD2E56" w:rsidRDefault="00F150BD" w:rsidP="00F150BD">
      <w:pPr>
        <w:spacing w:line="23" w:lineRule="atLeast"/>
        <w:ind w:left="2127" w:hanging="2127"/>
        <w:jc w:val="both"/>
        <w:rPr>
          <w:b/>
        </w:rPr>
      </w:pPr>
      <w:r w:rsidRPr="00AD2E56">
        <w:rPr>
          <w:b/>
        </w:rPr>
        <w:t>PSP ČR</w:t>
      </w:r>
      <w:r w:rsidRPr="00AD2E56">
        <w:rPr>
          <w:b/>
        </w:rPr>
        <w:tab/>
      </w:r>
      <w:r w:rsidRPr="00AD2E56">
        <w:rPr>
          <w:bCs/>
        </w:rPr>
        <w:t>Poslanecká sněmovna Parlamentu ČR</w:t>
      </w:r>
    </w:p>
    <w:p w14:paraId="6B05DFF9" w14:textId="77777777" w:rsidR="00F150BD" w:rsidRPr="00AD2E56" w:rsidRDefault="00F150BD" w:rsidP="00F150BD">
      <w:pPr>
        <w:spacing w:line="23" w:lineRule="atLeast"/>
        <w:ind w:left="2127" w:hanging="2127"/>
        <w:jc w:val="both"/>
        <w:rPr>
          <w:bCs/>
        </w:rPr>
      </w:pPr>
      <w:r w:rsidRPr="00AD2E56">
        <w:rPr>
          <w:b/>
        </w:rPr>
        <w:t>PZS</w:t>
      </w:r>
      <w:r w:rsidRPr="00AD2E56">
        <w:rPr>
          <w:b/>
        </w:rPr>
        <w:tab/>
      </w:r>
      <w:r w:rsidRPr="00AD2E56">
        <w:rPr>
          <w:bCs/>
        </w:rPr>
        <w:t>Poskytovatelé zdravotních služeb</w:t>
      </w:r>
    </w:p>
    <w:p w14:paraId="5B6E3E9A" w14:textId="77777777" w:rsidR="00F150BD" w:rsidRPr="00AD2E56" w:rsidRDefault="00F150BD" w:rsidP="00F150BD">
      <w:pPr>
        <w:spacing w:line="23" w:lineRule="atLeast"/>
        <w:ind w:left="2127" w:hanging="2127"/>
        <w:jc w:val="both"/>
        <w:rPr>
          <w:bCs/>
        </w:rPr>
      </w:pPr>
      <w:r w:rsidRPr="00AD2E56">
        <w:rPr>
          <w:b/>
        </w:rPr>
        <w:t>RBP</w:t>
      </w:r>
      <w:r w:rsidRPr="00AD2E56">
        <w:rPr>
          <w:b/>
        </w:rPr>
        <w:tab/>
      </w:r>
      <w:r w:rsidRPr="00AD2E56">
        <w:rPr>
          <w:bCs/>
        </w:rPr>
        <w:t>RBP, zdravotní pojišťovna</w:t>
      </w:r>
    </w:p>
    <w:p w14:paraId="2F64908F" w14:textId="77777777" w:rsidR="00F150BD" w:rsidRPr="00AD2E56" w:rsidRDefault="00F150BD" w:rsidP="00F150BD">
      <w:pPr>
        <w:spacing w:line="23" w:lineRule="atLeast"/>
        <w:ind w:left="2127" w:hanging="2127"/>
        <w:jc w:val="both"/>
        <w:rPr>
          <w:bCs/>
        </w:rPr>
      </w:pPr>
      <w:r w:rsidRPr="00AD2E56">
        <w:rPr>
          <w:b/>
        </w:rPr>
        <w:t>RF</w:t>
      </w:r>
      <w:r w:rsidRPr="00AD2E56">
        <w:rPr>
          <w:b/>
        </w:rPr>
        <w:tab/>
      </w:r>
      <w:r w:rsidRPr="00AD2E56">
        <w:rPr>
          <w:bCs/>
        </w:rPr>
        <w:t>Rezervní fond</w:t>
      </w:r>
    </w:p>
    <w:p w14:paraId="400A8608" w14:textId="77777777" w:rsidR="00F150BD" w:rsidRPr="00AD2E56" w:rsidRDefault="00F150BD" w:rsidP="00F150BD">
      <w:pPr>
        <w:spacing w:line="23" w:lineRule="atLeast"/>
        <w:ind w:left="2127" w:hanging="2127"/>
        <w:jc w:val="both"/>
        <w:rPr>
          <w:bCs/>
        </w:rPr>
      </w:pPr>
      <w:r w:rsidRPr="00AD2E56">
        <w:rPr>
          <w:b/>
        </w:rPr>
        <w:t>RO</w:t>
      </w:r>
      <w:r w:rsidRPr="00AD2E56">
        <w:rPr>
          <w:b/>
        </w:rPr>
        <w:tab/>
      </w:r>
      <w:r w:rsidRPr="00AD2E56">
        <w:rPr>
          <w:bCs/>
        </w:rPr>
        <w:t>Rozhodčí orgán</w:t>
      </w:r>
    </w:p>
    <w:p w14:paraId="6EC4B0B4" w14:textId="77777777" w:rsidR="00F150BD" w:rsidRPr="00AD2E56" w:rsidRDefault="00F150BD" w:rsidP="00F150BD">
      <w:pPr>
        <w:spacing w:line="23" w:lineRule="atLeast"/>
        <w:ind w:left="2127" w:hanging="2127"/>
        <w:jc w:val="both"/>
        <w:rPr>
          <w:bCs/>
        </w:rPr>
      </w:pPr>
      <w:r w:rsidRPr="00AD2E56">
        <w:rPr>
          <w:b/>
        </w:rPr>
        <w:t>Saldo příjmů a výdajů</w:t>
      </w:r>
      <w:r w:rsidRPr="00AD2E56">
        <w:rPr>
          <w:b/>
        </w:rPr>
        <w:tab/>
      </w:r>
      <w:r w:rsidRPr="00AD2E56">
        <w:rPr>
          <w:bCs/>
        </w:rPr>
        <w:t xml:space="preserve">Saldo příjmů celkem, včetně </w:t>
      </w:r>
      <w:r>
        <w:rPr>
          <w:bCs/>
        </w:rPr>
        <w:t>vlivu jiné činnosti</w:t>
      </w:r>
      <w:r w:rsidRPr="00AD2E56">
        <w:rPr>
          <w:bCs/>
        </w:rPr>
        <w:t xml:space="preserve">, a výdajů celkem, včetně </w:t>
      </w:r>
      <w:r>
        <w:rPr>
          <w:bCs/>
        </w:rPr>
        <w:t>vlivu jiné činnosti</w:t>
      </w:r>
    </w:p>
    <w:p w14:paraId="0ABBD464" w14:textId="77777777" w:rsidR="00F150BD" w:rsidRPr="00AD2E56" w:rsidRDefault="00F150BD" w:rsidP="00F150BD">
      <w:pPr>
        <w:spacing w:line="23" w:lineRule="atLeast"/>
        <w:ind w:left="2127" w:hanging="2127"/>
        <w:jc w:val="both"/>
        <w:rPr>
          <w:b/>
        </w:rPr>
      </w:pPr>
      <w:r w:rsidRPr="00AD2E56">
        <w:rPr>
          <w:b/>
        </w:rPr>
        <w:t>SF</w:t>
      </w:r>
      <w:r w:rsidRPr="00AD2E56">
        <w:rPr>
          <w:b/>
        </w:rPr>
        <w:tab/>
      </w:r>
      <w:r w:rsidRPr="00AD2E56">
        <w:rPr>
          <w:bCs/>
        </w:rPr>
        <w:t>Sociální fond</w:t>
      </w:r>
    </w:p>
    <w:p w14:paraId="62CFC27D" w14:textId="77777777" w:rsidR="00F150BD" w:rsidRPr="00AD2E56" w:rsidRDefault="00F150BD" w:rsidP="00F150BD">
      <w:pPr>
        <w:spacing w:line="23" w:lineRule="atLeast"/>
        <w:ind w:left="2127" w:hanging="2127"/>
        <w:jc w:val="both"/>
        <w:rPr>
          <w:b/>
        </w:rPr>
      </w:pPr>
      <w:r w:rsidRPr="00AD2E56">
        <w:rPr>
          <w:b/>
        </w:rPr>
        <w:t>SR</w:t>
      </w:r>
      <w:r w:rsidRPr="00AD2E56">
        <w:rPr>
          <w:b/>
        </w:rPr>
        <w:tab/>
      </w:r>
      <w:r w:rsidRPr="00AD2E56">
        <w:rPr>
          <w:bCs/>
        </w:rPr>
        <w:t>Správní rada</w:t>
      </w:r>
    </w:p>
    <w:p w14:paraId="57651E29" w14:textId="77777777" w:rsidR="00F150BD" w:rsidRPr="00AD2E56" w:rsidRDefault="00F150BD" w:rsidP="00F150BD">
      <w:pPr>
        <w:spacing w:line="23" w:lineRule="atLeast"/>
        <w:ind w:left="2127" w:hanging="2127"/>
        <w:jc w:val="both"/>
        <w:rPr>
          <w:b/>
        </w:rPr>
      </w:pPr>
      <w:r w:rsidRPr="00AD2E56">
        <w:rPr>
          <w:b/>
        </w:rPr>
        <w:t>Státní pojištěnci</w:t>
      </w:r>
      <w:r w:rsidRPr="00AD2E56">
        <w:rPr>
          <w:b/>
        </w:rPr>
        <w:tab/>
      </w:r>
      <w:r w:rsidRPr="00AD2E56">
        <w:rPr>
          <w:bCs/>
        </w:rPr>
        <w:t>Skupina pojištěnců definovaných v § 7 zákona č. 48/1997 Sb., za které je plátcem pojistného stát</w:t>
      </w:r>
    </w:p>
    <w:p w14:paraId="5D42E22F" w14:textId="77777777" w:rsidR="00F150BD" w:rsidRPr="00AD2E56" w:rsidRDefault="00F150BD" w:rsidP="00F150BD">
      <w:pPr>
        <w:spacing w:line="23" w:lineRule="atLeast"/>
        <w:ind w:left="2127" w:hanging="2127"/>
        <w:jc w:val="both"/>
        <w:rPr>
          <w:b/>
        </w:rPr>
      </w:pPr>
      <w:r w:rsidRPr="00AD2E56">
        <w:rPr>
          <w:b/>
        </w:rPr>
        <w:t>v. z. p.</w:t>
      </w:r>
      <w:r w:rsidRPr="00AD2E56">
        <w:rPr>
          <w:b/>
        </w:rPr>
        <w:tab/>
      </w:r>
      <w:r w:rsidRPr="00AD2E56">
        <w:rPr>
          <w:bCs/>
        </w:rPr>
        <w:t>Veřejné zdravotní pojištění</w:t>
      </w:r>
    </w:p>
    <w:p w14:paraId="69EC165D" w14:textId="77777777" w:rsidR="00F150BD" w:rsidRPr="00AD2E56" w:rsidRDefault="00F150BD" w:rsidP="00F150BD">
      <w:pPr>
        <w:spacing w:line="23" w:lineRule="atLeast"/>
        <w:ind w:left="2127" w:hanging="2127"/>
        <w:jc w:val="both"/>
        <w:rPr>
          <w:b/>
        </w:rPr>
      </w:pPr>
      <w:r w:rsidRPr="00AD2E56">
        <w:rPr>
          <w:b/>
        </w:rPr>
        <w:t xml:space="preserve">VoZP ČR </w:t>
      </w:r>
      <w:r w:rsidRPr="00AD2E56">
        <w:rPr>
          <w:b/>
        </w:rPr>
        <w:tab/>
      </w:r>
      <w:r w:rsidRPr="00AD2E56">
        <w:rPr>
          <w:bCs/>
        </w:rPr>
        <w:t>Vojenská zdravotní pojišťovna ČR</w:t>
      </w:r>
    </w:p>
    <w:p w14:paraId="2122E034" w14:textId="77777777" w:rsidR="00F150BD" w:rsidRPr="00AD2E56" w:rsidRDefault="00F150BD" w:rsidP="00F150BD">
      <w:pPr>
        <w:spacing w:line="23" w:lineRule="atLeast"/>
        <w:ind w:left="2127" w:hanging="2127"/>
        <w:jc w:val="both"/>
        <w:rPr>
          <w:b/>
        </w:rPr>
      </w:pPr>
      <w:r w:rsidRPr="00AD2E56">
        <w:rPr>
          <w:b/>
        </w:rPr>
        <w:t>VZ</w:t>
      </w:r>
      <w:r w:rsidRPr="00AD2E56">
        <w:rPr>
          <w:b/>
        </w:rPr>
        <w:tab/>
      </w:r>
      <w:r w:rsidRPr="00AD2E56">
        <w:rPr>
          <w:bCs/>
        </w:rPr>
        <w:t>Výroční zpráva</w:t>
      </w:r>
    </w:p>
    <w:p w14:paraId="51FFEC61" w14:textId="77777777" w:rsidR="00F150BD" w:rsidRPr="00AD2E56" w:rsidRDefault="00F150BD" w:rsidP="00F150BD">
      <w:pPr>
        <w:spacing w:line="23" w:lineRule="atLeast"/>
        <w:ind w:left="2127" w:hanging="2127"/>
        <w:jc w:val="both"/>
        <w:rPr>
          <w:b/>
        </w:rPr>
      </w:pPr>
      <w:r w:rsidRPr="00AD2E56">
        <w:rPr>
          <w:b/>
        </w:rPr>
        <w:t xml:space="preserve">VZP ČR </w:t>
      </w:r>
      <w:r w:rsidRPr="00AD2E56">
        <w:rPr>
          <w:b/>
        </w:rPr>
        <w:tab/>
      </w:r>
      <w:r w:rsidRPr="00AD2E56">
        <w:rPr>
          <w:bCs/>
        </w:rPr>
        <w:t>Všeobecná zdravotní pojišťovna ČR</w:t>
      </w:r>
    </w:p>
    <w:p w14:paraId="621C15A2" w14:textId="77777777" w:rsidR="00F150BD" w:rsidRPr="00AD2E56" w:rsidRDefault="00F150BD" w:rsidP="00F150BD">
      <w:pPr>
        <w:spacing w:line="23" w:lineRule="atLeast"/>
        <w:ind w:left="2127" w:hanging="2127"/>
        <w:jc w:val="both"/>
        <w:rPr>
          <w:b/>
        </w:rPr>
      </w:pPr>
      <w:r w:rsidRPr="00AD2E56">
        <w:rPr>
          <w:b/>
        </w:rPr>
        <w:t>ZFZP</w:t>
      </w:r>
      <w:r w:rsidRPr="00AD2E56">
        <w:rPr>
          <w:b/>
        </w:rPr>
        <w:tab/>
      </w:r>
      <w:r w:rsidRPr="00AD2E56">
        <w:rPr>
          <w:bCs/>
        </w:rPr>
        <w:t>Základní fond zdravotního pojištění</w:t>
      </w:r>
    </w:p>
    <w:p w14:paraId="6A76E43B" w14:textId="77777777" w:rsidR="00F150BD" w:rsidRPr="00AD2E56" w:rsidRDefault="00F150BD" w:rsidP="00F150BD">
      <w:pPr>
        <w:spacing w:line="23" w:lineRule="atLeast"/>
        <w:ind w:left="2127" w:hanging="2127"/>
        <w:jc w:val="both"/>
        <w:rPr>
          <w:b/>
        </w:rPr>
      </w:pPr>
      <w:r w:rsidRPr="00AD2E56">
        <w:rPr>
          <w:b/>
        </w:rPr>
        <w:t xml:space="preserve">ZP MV ČR </w:t>
      </w:r>
      <w:r w:rsidRPr="00AD2E56">
        <w:rPr>
          <w:b/>
        </w:rPr>
        <w:tab/>
      </w:r>
      <w:r w:rsidRPr="00AD2E56">
        <w:rPr>
          <w:bCs/>
        </w:rPr>
        <w:t>Zdravotní pojišťovna ministerstva vnitra ČR</w:t>
      </w:r>
    </w:p>
    <w:p w14:paraId="6E1E995A" w14:textId="77777777" w:rsidR="00F150BD" w:rsidRPr="00AD2E56" w:rsidRDefault="00F150BD" w:rsidP="00F150BD">
      <w:pPr>
        <w:spacing w:line="23" w:lineRule="atLeast"/>
        <w:ind w:left="2127" w:hanging="2127"/>
        <w:jc w:val="both"/>
        <w:rPr>
          <w:b/>
        </w:rPr>
      </w:pPr>
      <w:r w:rsidRPr="00AD2E56">
        <w:rPr>
          <w:b/>
        </w:rPr>
        <w:t>ZP</w:t>
      </w:r>
      <w:r w:rsidRPr="00AD2E56">
        <w:rPr>
          <w:b/>
        </w:rPr>
        <w:tab/>
      </w:r>
      <w:r w:rsidRPr="00AD2E56">
        <w:rPr>
          <w:bCs/>
        </w:rPr>
        <w:t>Zdravotní pojišťovny</w:t>
      </w:r>
      <w:r w:rsidRPr="00AD2E56">
        <w:rPr>
          <w:b/>
        </w:rPr>
        <w:t xml:space="preserve"> </w:t>
      </w:r>
    </w:p>
    <w:p w14:paraId="26EDFD72" w14:textId="77777777" w:rsidR="00F150BD" w:rsidRPr="00AD2E56" w:rsidRDefault="00F150BD" w:rsidP="00F150BD">
      <w:pPr>
        <w:spacing w:line="23" w:lineRule="atLeast"/>
        <w:ind w:left="2127" w:hanging="2127"/>
        <w:jc w:val="both"/>
        <w:rPr>
          <w:b/>
        </w:rPr>
      </w:pPr>
      <w:r w:rsidRPr="00AD2E56">
        <w:rPr>
          <w:b/>
        </w:rPr>
        <w:t>ZPP</w:t>
      </w:r>
      <w:r w:rsidRPr="00AD2E56">
        <w:rPr>
          <w:b/>
        </w:rPr>
        <w:tab/>
      </w:r>
      <w:r w:rsidRPr="00AD2E56">
        <w:rPr>
          <w:bCs/>
        </w:rPr>
        <w:t>Zdravotně pojistný plán</w:t>
      </w:r>
    </w:p>
    <w:p w14:paraId="1320B9AF" w14:textId="19DEC8EF" w:rsidR="00F150BD" w:rsidRDefault="00F150BD" w:rsidP="00F150BD">
      <w:pPr>
        <w:spacing w:line="23" w:lineRule="atLeast"/>
        <w:ind w:left="2127" w:hanging="2127"/>
        <w:jc w:val="both"/>
        <w:rPr>
          <w:b/>
        </w:rPr>
      </w:pPr>
      <w:r w:rsidRPr="00AD2E56">
        <w:rPr>
          <w:b/>
        </w:rPr>
        <w:t>ZPŠ</w:t>
      </w:r>
      <w:r w:rsidRPr="00AD2E56">
        <w:rPr>
          <w:b/>
        </w:rPr>
        <w:tab/>
      </w:r>
      <w:r w:rsidRPr="00AD2E56">
        <w:rPr>
          <w:bCs/>
        </w:rPr>
        <w:t>Zaměstnanecká pojišťovna Škoda</w:t>
      </w:r>
      <w:r w:rsidRPr="00AD2E56">
        <w:rPr>
          <w:b/>
        </w:rPr>
        <w:t xml:space="preserve"> </w:t>
      </w:r>
    </w:p>
    <w:p w14:paraId="12CF47A7" w14:textId="10C66858" w:rsidR="0038373F" w:rsidRPr="0038373F" w:rsidRDefault="0038373F" w:rsidP="00F150BD">
      <w:pPr>
        <w:spacing w:line="23" w:lineRule="atLeast"/>
        <w:ind w:left="2127" w:hanging="2127"/>
        <w:jc w:val="both"/>
        <w:rPr>
          <w:bCs/>
        </w:rPr>
      </w:pPr>
      <w:r>
        <w:rPr>
          <w:b/>
        </w:rPr>
        <w:t>ZS</w:t>
      </w:r>
      <w:r>
        <w:rPr>
          <w:b/>
        </w:rPr>
        <w:tab/>
      </w:r>
      <w:r w:rsidRPr="0038373F">
        <w:rPr>
          <w:bCs/>
        </w:rPr>
        <w:t>Zdravotní služby</w:t>
      </w:r>
    </w:p>
    <w:p w14:paraId="69803C0C" w14:textId="77777777" w:rsidR="00F150BD" w:rsidRPr="00AD2E56" w:rsidRDefault="00F150BD" w:rsidP="00F150BD">
      <w:pPr>
        <w:spacing w:line="23" w:lineRule="atLeast"/>
        <w:ind w:left="2127" w:hanging="2127"/>
        <w:jc w:val="both"/>
        <w:rPr>
          <w:b/>
        </w:rPr>
      </w:pPr>
      <w:r w:rsidRPr="00AD2E56">
        <w:rPr>
          <w:b/>
        </w:rPr>
        <w:t>ZUM</w:t>
      </w:r>
      <w:r w:rsidRPr="00AD2E56">
        <w:rPr>
          <w:b/>
        </w:rPr>
        <w:tab/>
      </w:r>
      <w:r w:rsidRPr="00AD2E56">
        <w:rPr>
          <w:bCs/>
        </w:rPr>
        <w:t>Zvlášť účtovaný materiál</w:t>
      </w:r>
    </w:p>
    <w:p w14:paraId="778C9184" w14:textId="77777777" w:rsidR="00F150BD" w:rsidRPr="00AD2E56" w:rsidRDefault="00F150BD" w:rsidP="00F150BD">
      <w:pPr>
        <w:spacing w:line="23" w:lineRule="atLeast"/>
        <w:ind w:left="2127" w:hanging="2127"/>
        <w:jc w:val="both"/>
        <w:rPr>
          <w:b/>
        </w:rPr>
      </w:pPr>
      <w:r w:rsidRPr="00AD2E56">
        <w:rPr>
          <w:b/>
        </w:rPr>
        <w:t>ZULP</w:t>
      </w:r>
      <w:r w:rsidRPr="00AD2E56">
        <w:rPr>
          <w:b/>
        </w:rPr>
        <w:tab/>
      </w:r>
      <w:r w:rsidRPr="00AD2E56">
        <w:rPr>
          <w:bCs/>
        </w:rPr>
        <w:t>Zvlášť účtované léčivé přípravky</w:t>
      </w:r>
    </w:p>
    <w:p w14:paraId="66B76A24" w14:textId="77777777" w:rsidR="00F150BD" w:rsidRPr="00AD2E56" w:rsidRDefault="00F150BD" w:rsidP="00F150BD">
      <w:pPr>
        <w:spacing w:line="23" w:lineRule="atLeast"/>
        <w:ind w:left="2127" w:hanging="2127"/>
        <w:jc w:val="both"/>
        <w:rPr>
          <w:b/>
        </w:rPr>
      </w:pPr>
      <w:r w:rsidRPr="00AD2E56">
        <w:rPr>
          <w:b/>
        </w:rPr>
        <w:t>ZZP</w:t>
      </w:r>
      <w:r w:rsidRPr="00AD2E56">
        <w:rPr>
          <w:b/>
        </w:rPr>
        <w:tab/>
      </w:r>
      <w:r w:rsidRPr="00AD2E56">
        <w:rPr>
          <w:bCs/>
        </w:rPr>
        <w:t>Zaměstnanecké zdravotní pojišťovny</w:t>
      </w:r>
      <w:r w:rsidRPr="00AD2E56">
        <w:rPr>
          <w:b/>
        </w:rPr>
        <w:t xml:space="preserve"> </w:t>
      </w:r>
    </w:p>
    <w:p w14:paraId="256FC437" w14:textId="77777777" w:rsidR="00F150BD" w:rsidRPr="00AD2E56" w:rsidRDefault="00F150BD" w:rsidP="00F150BD">
      <w:pPr>
        <w:spacing w:line="23" w:lineRule="atLeast"/>
        <w:ind w:left="2127" w:hanging="2127"/>
        <w:jc w:val="both"/>
        <w:rPr>
          <w:b/>
        </w:rPr>
      </w:pPr>
      <w:r w:rsidRPr="00AD2E56">
        <w:rPr>
          <w:b/>
        </w:rPr>
        <w:t>ZZS</w:t>
      </w:r>
      <w:r w:rsidRPr="00AD2E56">
        <w:rPr>
          <w:b/>
        </w:rPr>
        <w:tab/>
      </w:r>
      <w:r w:rsidRPr="00AD2E56">
        <w:rPr>
          <w:bCs/>
        </w:rPr>
        <w:t>Zdravotnická záchranná služba</w:t>
      </w:r>
    </w:p>
    <w:p w14:paraId="7EF6AB43" w14:textId="15C07C4B" w:rsidR="00062090" w:rsidRDefault="001C4F13" w:rsidP="001C4F13">
      <w:pPr>
        <w:spacing w:after="200" w:line="276" w:lineRule="auto"/>
        <w:ind w:left="2127" w:hanging="2127"/>
        <w:rPr>
          <w:rFonts w:cstheme="minorHAnsi"/>
          <w:szCs w:val="21"/>
        </w:rPr>
      </w:pPr>
      <w:r w:rsidRPr="00691EF0">
        <w:rPr>
          <w:rFonts w:cstheme="minorHAnsi"/>
          <w:b/>
          <w:szCs w:val="21"/>
        </w:rPr>
        <w:t>ZZVZ</w:t>
      </w:r>
      <w:r w:rsidRPr="00691EF0">
        <w:rPr>
          <w:rFonts w:cstheme="minorHAnsi"/>
          <w:szCs w:val="21"/>
        </w:rPr>
        <w:t xml:space="preserve"> </w:t>
      </w:r>
      <w:r>
        <w:rPr>
          <w:rFonts w:cstheme="minorHAnsi"/>
          <w:szCs w:val="21"/>
        </w:rPr>
        <w:tab/>
      </w:r>
      <w:r w:rsidR="0057272D" w:rsidRPr="0057272D">
        <w:rPr>
          <w:rFonts w:cstheme="minorHAnsi"/>
          <w:szCs w:val="21"/>
        </w:rPr>
        <w:t>zákon č. 134/2016 Sb., o zadávání veřejných zakázek, ve znění pozdějších předpisů</w:t>
      </w:r>
    </w:p>
    <w:p w14:paraId="4BC7435A" w14:textId="3CAF8030" w:rsidR="00F150BD" w:rsidRDefault="00F150BD" w:rsidP="001C4F13">
      <w:pPr>
        <w:spacing w:after="200" w:line="276" w:lineRule="auto"/>
        <w:ind w:left="2127" w:hanging="2127"/>
      </w:pPr>
      <w:r>
        <w:br w:type="page"/>
      </w:r>
    </w:p>
    <w:p w14:paraId="3D590F83" w14:textId="77777777" w:rsidR="00BC3E04" w:rsidRPr="00BC3E04" w:rsidRDefault="00BC3E04" w:rsidP="007327D1">
      <w:pPr>
        <w:pStyle w:val="Nadpis1"/>
      </w:pPr>
      <w:bookmarkStart w:id="89" w:name="_Toc169176594"/>
      <w:r w:rsidRPr="00BC3E04">
        <w:t>Právní předpisy citov</w:t>
      </w:r>
      <w:r w:rsidR="00551389">
        <w:t>ané v textové části materiálu a </w:t>
      </w:r>
      <w:r w:rsidRPr="00BC3E04">
        <w:t>tabulkových přílohách</w:t>
      </w:r>
      <w:bookmarkEnd w:id="89"/>
      <w:r w:rsidRPr="00BC3E04">
        <w:t xml:space="preserve"> </w:t>
      </w:r>
    </w:p>
    <w:p w14:paraId="34B38D9A" w14:textId="77777777" w:rsidR="00F150BD" w:rsidRPr="00AD2E56" w:rsidRDefault="00F150BD" w:rsidP="00F52DAE">
      <w:pPr>
        <w:spacing w:line="276" w:lineRule="auto"/>
        <w:ind w:left="3544" w:hanging="3119"/>
        <w:jc w:val="both"/>
        <w:rPr>
          <w:b/>
        </w:rPr>
      </w:pPr>
      <w:r w:rsidRPr="00AD2E56">
        <w:rPr>
          <w:b/>
        </w:rPr>
        <w:t>Zákon č. 526/1990 Sb.</w:t>
      </w:r>
      <w:r w:rsidRPr="00AD2E56">
        <w:rPr>
          <w:b/>
        </w:rPr>
        <w:tab/>
      </w:r>
      <w:r w:rsidRPr="00AD2E56">
        <w:rPr>
          <w:bCs/>
        </w:rPr>
        <w:t>Zákon č. 526/1990 Sb., o cenách, ve znění pozdějších předpisů.</w:t>
      </w:r>
    </w:p>
    <w:p w14:paraId="674C24D6" w14:textId="77777777" w:rsidR="00F150BD" w:rsidRDefault="00F150BD" w:rsidP="00F52DAE">
      <w:pPr>
        <w:spacing w:line="276" w:lineRule="auto"/>
        <w:ind w:left="3544" w:hanging="3119"/>
        <w:jc w:val="both"/>
        <w:rPr>
          <w:bCs/>
        </w:rPr>
      </w:pPr>
      <w:r w:rsidRPr="00AD2E56">
        <w:rPr>
          <w:b/>
        </w:rPr>
        <w:t>Zákon č. 551/1991 Sb.</w:t>
      </w:r>
      <w:r w:rsidRPr="00AD2E56">
        <w:rPr>
          <w:b/>
        </w:rPr>
        <w:tab/>
      </w:r>
      <w:r w:rsidRPr="00AD2E56">
        <w:rPr>
          <w:bCs/>
        </w:rPr>
        <w:t>Zákon č. 551/1991 Sb., o Všeobecné zdravotní pojišťovně České republiky, ve znění pozdějších předpisů.</w:t>
      </w:r>
    </w:p>
    <w:p w14:paraId="6F2E020D" w14:textId="77777777" w:rsidR="00F150BD" w:rsidRDefault="00F150BD" w:rsidP="00F52DAE">
      <w:pPr>
        <w:spacing w:line="276" w:lineRule="auto"/>
        <w:ind w:left="3544" w:hanging="3119"/>
        <w:jc w:val="both"/>
        <w:rPr>
          <w:bCs/>
        </w:rPr>
      </w:pPr>
      <w:r w:rsidRPr="00AD2E56">
        <w:rPr>
          <w:b/>
        </w:rPr>
        <w:t>Zákon č. 563/1991 Sb.</w:t>
      </w:r>
      <w:r w:rsidRPr="00AD2E56">
        <w:rPr>
          <w:b/>
        </w:rPr>
        <w:tab/>
      </w:r>
      <w:r w:rsidRPr="00AD2E56">
        <w:rPr>
          <w:bCs/>
        </w:rPr>
        <w:t>Zákon č. 563/1991 Sb., o účetnictví, ve znění pozdějších předpisů.</w:t>
      </w:r>
    </w:p>
    <w:p w14:paraId="5311A488" w14:textId="77777777" w:rsidR="00F150BD" w:rsidRPr="00AD2E56" w:rsidRDefault="00F150BD" w:rsidP="00F52DAE">
      <w:pPr>
        <w:spacing w:line="276" w:lineRule="auto"/>
        <w:ind w:left="3544" w:hanging="3119"/>
        <w:jc w:val="both"/>
        <w:rPr>
          <w:b/>
        </w:rPr>
      </w:pPr>
      <w:r w:rsidRPr="00AD2E56">
        <w:rPr>
          <w:b/>
        </w:rPr>
        <w:t>Zákon č. 280/1992 Sb.</w:t>
      </w:r>
      <w:r w:rsidRPr="00AD2E56">
        <w:rPr>
          <w:b/>
        </w:rPr>
        <w:tab/>
      </w:r>
      <w:r w:rsidRPr="00AD2E56">
        <w:rPr>
          <w:bCs/>
        </w:rPr>
        <w:t>Zákon č. 280/1992 Sb., o resortních, oborových, podnikových a dalších zdravotních pojišťovnách, ve znění pozdějších předpisů.</w:t>
      </w:r>
    </w:p>
    <w:p w14:paraId="66E1E054" w14:textId="77777777" w:rsidR="00F150BD" w:rsidRPr="00AD2E56" w:rsidRDefault="00F150BD" w:rsidP="00F52DAE">
      <w:pPr>
        <w:spacing w:line="276" w:lineRule="auto"/>
        <w:ind w:left="3544" w:hanging="3119"/>
        <w:jc w:val="both"/>
        <w:rPr>
          <w:b/>
        </w:rPr>
      </w:pPr>
      <w:r w:rsidRPr="00AD2E56">
        <w:rPr>
          <w:b/>
        </w:rPr>
        <w:t>Zákon č. 586/1992 Sb.</w:t>
      </w:r>
      <w:r w:rsidRPr="00AD2E56">
        <w:rPr>
          <w:b/>
        </w:rPr>
        <w:tab/>
      </w:r>
      <w:r w:rsidRPr="00AD2E56">
        <w:rPr>
          <w:bCs/>
        </w:rPr>
        <w:t>Zákon č. 586/1992 Sb., o daních z příjmů, ve znění pozdějších předpisů.</w:t>
      </w:r>
    </w:p>
    <w:p w14:paraId="0267D814" w14:textId="77777777" w:rsidR="00F150BD" w:rsidRPr="00AD2E56" w:rsidRDefault="00F150BD" w:rsidP="00F52DAE">
      <w:pPr>
        <w:spacing w:line="276" w:lineRule="auto"/>
        <w:ind w:left="3544" w:hanging="3119"/>
        <w:jc w:val="both"/>
        <w:rPr>
          <w:b/>
        </w:rPr>
      </w:pPr>
      <w:r w:rsidRPr="00AD2E56">
        <w:rPr>
          <w:b/>
        </w:rPr>
        <w:t>Zákon č. 592/1992 Sb.</w:t>
      </w:r>
      <w:r w:rsidRPr="00AD2E56">
        <w:rPr>
          <w:b/>
        </w:rPr>
        <w:tab/>
      </w:r>
      <w:r w:rsidRPr="00AD2E56">
        <w:rPr>
          <w:bCs/>
        </w:rPr>
        <w:t>Zákon č. 592/1992 Sb., o pojistném na veřejné zdravotní pojištění, ve znění pozdějších předpisů.</w:t>
      </w:r>
    </w:p>
    <w:p w14:paraId="64D91768" w14:textId="43D2D871" w:rsidR="00F150BD" w:rsidRPr="00AD2E56" w:rsidRDefault="00F150BD" w:rsidP="00F52DAE">
      <w:pPr>
        <w:spacing w:line="276" w:lineRule="auto"/>
        <w:ind w:left="3544" w:hanging="3119"/>
        <w:jc w:val="both"/>
        <w:rPr>
          <w:b/>
        </w:rPr>
      </w:pPr>
      <w:r w:rsidRPr="00AD2E56">
        <w:rPr>
          <w:b/>
        </w:rPr>
        <w:t>Zákon č. 48/1997 Sb.</w:t>
      </w:r>
      <w:r w:rsidRPr="00AD2E56">
        <w:rPr>
          <w:b/>
        </w:rPr>
        <w:tab/>
      </w:r>
      <w:r w:rsidRPr="00AD2E56">
        <w:rPr>
          <w:bCs/>
        </w:rPr>
        <w:t>Zákon č. 48/1997 Sb., o veřejném zdravotním pojištění a o změně a</w:t>
      </w:r>
      <w:r w:rsidR="00D8337E">
        <w:rPr>
          <w:bCs/>
        </w:rPr>
        <w:t> </w:t>
      </w:r>
      <w:r w:rsidRPr="00AD2E56">
        <w:rPr>
          <w:bCs/>
        </w:rPr>
        <w:t>doplnění některých souvisejících zákonů, ve znění pozdějších předpisů.</w:t>
      </w:r>
    </w:p>
    <w:p w14:paraId="7763EE10" w14:textId="77777777" w:rsidR="00F150BD" w:rsidRDefault="00F150BD" w:rsidP="00F52DAE">
      <w:pPr>
        <w:spacing w:line="276" w:lineRule="auto"/>
        <w:ind w:left="3544" w:hanging="3119"/>
        <w:jc w:val="both"/>
        <w:rPr>
          <w:bCs/>
        </w:rPr>
      </w:pPr>
      <w:r w:rsidRPr="00AD2E56">
        <w:rPr>
          <w:b/>
        </w:rPr>
        <w:t>Zákon č. 225/1999 Sb.</w:t>
      </w:r>
      <w:r w:rsidRPr="00AD2E56">
        <w:rPr>
          <w:b/>
        </w:rPr>
        <w:tab/>
      </w:r>
      <w:r w:rsidRPr="00AD2E56">
        <w:rPr>
          <w:bCs/>
        </w:rPr>
        <w:t>Zákon č. 225/1999 Sb., kterým se mění některé zákony v souvislosti s přijetím zákona o vojácích z povolání, ve znění pozdějších předpisů.</w:t>
      </w:r>
    </w:p>
    <w:p w14:paraId="4FB0C144" w14:textId="77777777" w:rsidR="00F150BD" w:rsidRPr="00AD2E56" w:rsidRDefault="00F150BD" w:rsidP="00F52DAE">
      <w:pPr>
        <w:spacing w:line="276" w:lineRule="auto"/>
        <w:ind w:left="3544" w:hanging="3119"/>
        <w:jc w:val="both"/>
        <w:rPr>
          <w:b/>
        </w:rPr>
      </w:pPr>
      <w:r w:rsidRPr="00AD2E56">
        <w:rPr>
          <w:b/>
        </w:rPr>
        <w:t>Zákon č. 320/2001 Sb.</w:t>
      </w:r>
      <w:r w:rsidRPr="00AD2E56">
        <w:rPr>
          <w:b/>
        </w:rPr>
        <w:tab/>
      </w:r>
      <w:r w:rsidRPr="00AD2E56">
        <w:rPr>
          <w:bCs/>
        </w:rPr>
        <w:t>Zákon č. 320/2001 Sb., o finanční kontrole ve veřejné správě a o změně některých zákonů (zákon o finanční kontrole), ve znění pozdějších předpisů.</w:t>
      </w:r>
    </w:p>
    <w:p w14:paraId="4AF32572" w14:textId="77777777" w:rsidR="00F150BD" w:rsidRPr="00AD2E56" w:rsidRDefault="00F150BD" w:rsidP="00F52DAE">
      <w:pPr>
        <w:spacing w:line="276" w:lineRule="auto"/>
        <w:ind w:left="3544" w:hanging="3119"/>
        <w:jc w:val="both"/>
        <w:rPr>
          <w:bCs/>
        </w:rPr>
      </w:pPr>
      <w:r w:rsidRPr="00AD2E56">
        <w:rPr>
          <w:b/>
        </w:rPr>
        <w:t>Zákon č. 182/ 2006 Sb.</w:t>
      </w:r>
      <w:r w:rsidRPr="00AD2E56">
        <w:rPr>
          <w:b/>
        </w:rPr>
        <w:tab/>
      </w:r>
      <w:r w:rsidRPr="00AD2E56">
        <w:rPr>
          <w:bCs/>
        </w:rPr>
        <w:t>Zákon č. 182/2006 Sb., o úpadku a způsobech jeho řešení (insolvenční zákon), ve znění pozdějších předpisů.</w:t>
      </w:r>
    </w:p>
    <w:p w14:paraId="6CF054C9" w14:textId="77777777" w:rsidR="00F150BD" w:rsidRPr="00AD2E56" w:rsidRDefault="00F150BD" w:rsidP="00F52DAE">
      <w:pPr>
        <w:spacing w:line="276" w:lineRule="auto"/>
        <w:ind w:left="3544" w:hanging="3119"/>
        <w:jc w:val="both"/>
        <w:rPr>
          <w:b/>
        </w:rPr>
      </w:pPr>
      <w:r w:rsidRPr="00AD2E56">
        <w:rPr>
          <w:b/>
        </w:rPr>
        <w:t>Zákon č. 93/2009 Sb.</w:t>
      </w:r>
      <w:r w:rsidRPr="00AD2E56">
        <w:rPr>
          <w:b/>
        </w:rPr>
        <w:tab/>
      </w:r>
      <w:r w:rsidRPr="00AD2E56">
        <w:rPr>
          <w:bCs/>
        </w:rPr>
        <w:t>Zákon č. 93/2009 Sb., o auditorech a o změně některých zákonů, ve znění pozdějších předpisů.</w:t>
      </w:r>
    </w:p>
    <w:p w14:paraId="5AF1A312" w14:textId="04F597CD" w:rsidR="00F150BD" w:rsidRDefault="00F150BD" w:rsidP="00F52DAE">
      <w:pPr>
        <w:spacing w:line="276" w:lineRule="auto"/>
        <w:ind w:left="3544" w:hanging="3119"/>
        <w:jc w:val="both"/>
        <w:rPr>
          <w:bCs/>
        </w:rPr>
      </w:pPr>
      <w:r w:rsidRPr="00AD2E56">
        <w:rPr>
          <w:b/>
        </w:rPr>
        <w:t>Zákon č. 255/2012 Sb.</w:t>
      </w:r>
      <w:r w:rsidRPr="00AD2E56">
        <w:rPr>
          <w:b/>
        </w:rPr>
        <w:tab/>
      </w:r>
      <w:r w:rsidRPr="00AD2E56">
        <w:rPr>
          <w:bCs/>
        </w:rPr>
        <w:t>Zákon č. 255/2012 Sb., o kontrole (kontrolní řád).</w:t>
      </w:r>
    </w:p>
    <w:p w14:paraId="11D796AA" w14:textId="53BB939A" w:rsidR="00D1330F" w:rsidRDefault="00D1330F" w:rsidP="00D1330F">
      <w:pPr>
        <w:spacing w:line="276" w:lineRule="auto"/>
        <w:ind w:left="3544" w:hanging="3119"/>
        <w:jc w:val="both"/>
        <w:rPr>
          <w:bCs/>
        </w:rPr>
      </w:pPr>
      <w:r w:rsidRPr="00AD2E56">
        <w:rPr>
          <w:b/>
        </w:rPr>
        <w:t>Zákon č</w:t>
      </w:r>
      <w:r>
        <w:t>.</w:t>
      </w:r>
      <w:r>
        <w:rPr>
          <w:b/>
        </w:rPr>
        <w:t xml:space="preserve"> 134/2016 Sb.</w:t>
      </w:r>
      <w:r w:rsidRPr="00AD2E56">
        <w:rPr>
          <w:b/>
        </w:rPr>
        <w:tab/>
      </w:r>
      <w:r>
        <w:rPr>
          <w:bCs/>
        </w:rPr>
        <w:t xml:space="preserve">Zákon č. </w:t>
      </w:r>
      <w:r w:rsidRPr="0057272D">
        <w:rPr>
          <w:rFonts w:cstheme="minorHAnsi"/>
          <w:szCs w:val="21"/>
        </w:rPr>
        <w:t>134/2016 Sb., o zadávání veřejných zakázek, ve znění pozdějších předpisů</w:t>
      </w:r>
      <w:r>
        <w:rPr>
          <w:rFonts w:cstheme="minorHAnsi"/>
          <w:szCs w:val="21"/>
        </w:rPr>
        <w:t>.</w:t>
      </w:r>
    </w:p>
    <w:p w14:paraId="4F134DEC" w14:textId="77777777" w:rsidR="00D8337E" w:rsidRPr="00AD2E56" w:rsidRDefault="00D8337E" w:rsidP="00D8337E">
      <w:pPr>
        <w:spacing w:line="276" w:lineRule="auto"/>
        <w:ind w:left="3544" w:hanging="3119"/>
        <w:jc w:val="both"/>
        <w:rPr>
          <w:bCs/>
        </w:rPr>
      </w:pPr>
      <w:r w:rsidRPr="00AD2E56">
        <w:rPr>
          <w:b/>
        </w:rPr>
        <w:t>Vyhláška č. 134/1998 Sb.</w:t>
      </w:r>
      <w:r w:rsidRPr="00AD2E56">
        <w:rPr>
          <w:b/>
        </w:rPr>
        <w:tab/>
      </w:r>
      <w:r w:rsidRPr="00AD2E56">
        <w:rPr>
          <w:bCs/>
        </w:rPr>
        <w:t>Vyhláška č. 134/1998 Sb., kterou se vydává seznam zdravotních výkonů s bodovými hodnotami, ve znění pozdějších předpisů.</w:t>
      </w:r>
    </w:p>
    <w:p w14:paraId="69F137B3" w14:textId="77777777" w:rsidR="00F150BD" w:rsidRPr="00AD2E56" w:rsidRDefault="00F150BD" w:rsidP="00F52DAE">
      <w:pPr>
        <w:spacing w:line="276" w:lineRule="auto"/>
        <w:ind w:left="3544" w:hanging="3119"/>
        <w:jc w:val="both"/>
        <w:rPr>
          <w:b/>
        </w:rPr>
      </w:pPr>
      <w:r w:rsidRPr="00AD2E56">
        <w:rPr>
          <w:b/>
        </w:rPr>
        <w:t>Vyhláška č. 41/2000 Sb.</w:t>
      </w:r>
      <w:r w:rsidRPr="00AD2E56">
        <w:rPr>
          <w:b/>
        </w:rPr>
        <w:tab/>
      </w:r>
      <w:r w:rsidRPr="00AD2E56">
        <w:rPr>
          <w:bCs/>
        </w:rPr>
        <w:t>Vyhláška č. 41/2000 Sb., kterou se stanoví podrobné podmínky tvorby a užití finančních prostředků fondů Vojenské zdravotní pojišťovny České republiky na úhradu zdravotní péče hrazené nad rámec veřejného zdravotního pojištění z prostředků státního rozpočtu kapitoly Ministerstva obrany.</w:t>
      </w:r>
    </w:p>
    <w:p w14:paraId="65F2B6A0" w14:textId="77777777" w:rsidR="00F150BD" w:rsidRPr="00AD2E56" w:rsidRDefault="00F150BD" w:rsidP="00F52DAE">
      <w:pPr>
        <w:spacing w:line="276" w:lineRule="auto"/>
        <w:ind w:left="3544" w:hanging="3119"/>
        <w:jc w:val="both"/>
        <w:rPr>
          <w:b/>
        </w:rPr>
      </w:pPr>
      <w:r w:rsidRPr="00AD2E56">
        <w:rPr>
          <w:b/>
        </w:rPr>
        <w:t>Vyhláška č. 503/2002 Sb.</w:t>
      </w:r>
      <w:r w:rsidRPr="00AD2E56">
        <w:rPr>
          <w:b/>
        </w:rPr>
        <w:tab/>
      </w:r>
      <w:r w:rsidRPr="00AD2E56">
        <w:rPr>
          <w:bCs/>
        </w:rPr>
        <w:t>Vyhláška č. 503/2002 Sb., kterou se provádějí některá ustanovení zákona č. 563/1991 Sb., o účetnictví, ve znění pozdějších předpisů, pro zdravotní pojišťovny.</w:t>
      </w:r>
    </w:p>
    <w:p w14:paraId="3819E6BC" w14:textId="77777777" w:rsidR="00390531" w:rsidRPr="00AD2E56" w:rsidRDefault="00390531" w:rsidP="00F52DAE">
      <w:pPr>
        <w:spacing w:line="276" w:lineRule="auto"/>
        <w:ind w:left="3544" w:hanging="3119"/>
        <w:jc w:val="both"/>
        <w:rPr>
          <w:b/>
        </w:rPr>
      </w:pPr>
      <w:r w:rsidRPr="00AD2E56">
        <w:rPr>
          <w:b/>
        </w:rPr>
        <w:t>Vyhláška č. 418/2003 Sb.</w:t>
      </w:r>
      <w:r w:rsidRPr="00AD2E56">
        <w:rPr>
          <w:b/>
        </w:rPr>
        <w:tab/>
      </w:r>
      <w:r w:rsidRPr="00AD2E56">
        <w:rPr>
          <w:bCs/>
        </w:rPr>
        <w:t>Vyhláška č. 418/2003 Sb., kterou se stanoví podrobnější vymezení okruhu a výše příjmů a výdajů fondů veřejného zdravotního pojištění zdravotních pojišťoven, podmínky jejich tvorby, užití, přípustnosti vzájemných převodů finančních prostředků a hospodaření s nimi, limit nákladů na činnost zdravotních pojišťoven krytých ze zdrojů základního fondu včetně postupu propočtu tohoto limitu, ve znění pozdějších předpisů.</w:t>
      </w:r>
    </w:p>
    <w:p w14:paraId="7DBFFA25" w14:textId="77777777" w:rsidR="00D8337E" w:rsidRPr="00AD2E56" w:rsidRDefault="00D8337E" w:rsidP="00D8337E">
      <w:pPr>
        <w:spacing w:line="276" w:lineRule="auto"/>
        <w:ind w:left="3544" w:hanging="3119"/>
        <w:jc w:val="both"/>
        <w:rPr>
          <w:b/>
        </w:rPr>
      </w:pPr>
      <w:r w:rsidRPr="00AD2E56">
        <w:rPr>
          <w:b/>
        </w:rPr>
        <w:t>Vyhláška č. 618/2006 Sb.</w:t>
      </w:r>
      <w:r w:rsidRPr="00AD2E56">
        <w:rPr>
          <w:b/>
        </w:rPr>
        <w:tab/>
      </w:r>
      <w:r w:rsidRPr="00AD2E56">
        <w:rPr>
          <w:bCs/>
        </w:rPr>
        <w:t>Vyhláška č. 618/2006 Sb., kterou se vydávají rámcové smlouvy.</w:t>
      </w:r>
    </w:p>
    <w:p w14:paraId="38C26129" w14:textId="77777777" w:rsidR="00D8337E" w:rsidRPr="00AD2E56" w:rsidRDefault="00D8337E" w:rsidP="00D8337E">
      <w:pPr>
        <w:spacing w:line="276" w:lineRule="auto"/>
        <w:ind w:left="3544" w:hanging="3119"/>
        <w:jc w:val="both"/>
        <w:rPr>
          <w:b/>
          <w:bCs/>
        </w:rPr>
      </w:pPr>
      <w:r w:rsidRPr="00AD2E56">
        <w:rPr>
          <w:b/>
        </w:rPr>
        <w:t>Vyhláška č. 63/2007 Sb.</w:t>
      </w:r>
      <w:r w:rsidRPr="00AD2E56">
        <w:rPr>
          <w:b/>
        </w:rPr>
        <w:tab/>
      </w:r>
      <w:r w:rsidRPr="00AD2E56">
        <w:rPr>
          <w:bCs/>
        </w:rPr>
        <w:t>Vyhláška č. 63/2007 Sb., o úhradách léčiv a potravin pro zvláštní lékařské účely.</w:t>
      </w:r>
    </w:p>
    <w:p w14:paraId="716666B4" w14:textId="77777777" w:rsidR="00390531" w:rsidRPr="00AD2E56" w:rsidRDefault="00390531" w:rsidP="00F52DAE">
      <w:pPr>
        <w:spacing w:line="276" w:lineRule="auto"/>
        <w:ind w:left="3544" w:hanging="3119"/>
        <w:jc w:val="both"/>
        <w:rPr>
          <w:b/>
        </w:rPr>
      </w:pPr>
      <w:r w:rsidRPr="00AD2E56">
        <w:rPr>
          <w:b/>
        </w:rPr>
        <w:t>Vyhláška č. 362/2010 Sb.</w:t>
      </w:r>
      <w:r w:rsidRPr="00AD2E56">
        <w:rPr>
          <w:b/>
        </w:rPr>
        <w:tab/>
      </w:r>
      <w:r w:rsidRPr="00AD2E56">
        <w:rPr>
          <w:bCs/>
        </w:rPr>
        <w:t>Vyhláška č. 362/2010 Sb., o způsobu podávání informací o hospodaření zdravotních pojišťoven a jejich rozsahu.</w:t>
      </w:r>
    </w:p>
    <w:p w14:paraId="007EF3BE" w14:textId="77777777" w:rsidR="00390531" w:rsidRPr="00AD2E56" w:rsidRDefault="00390531" w:rsidP="00F52DAE">
      <w:pPr>
        <w:spacing w:line="276" w:lineRule="auto"/>
        <w:ind w:left="3544" w:hanging="3119"/>
        <w:jc w:val="both"/>
        <w:rPr>
          <w:b/>
        </w:rPr>
      </w:pPr>
      <w:bookmarkStart w:id="90" w:name="_Hlk136941320"/>
      <w:r w:rsidRPr="00AD2E56">
        <w:rPr>
          <w:b/>
        </w:rPr>
        <w:t xml:space="preserve">Vyhláška č. </w:t>
      </w:r>
      <w:bookmarkEnd w:id="90"/>
      <w:r w:rsidRPr="00AD2E56">
        <w:rPr>
          <w:b/>
        </w:rPr>
        <w:t>2/2015 Sb.</w:t>
      </w:r>
      <w:r w:rsidRPr="00AD2E56">
        <w:rPr>
          <w:b/>
        </w:rPr>
        <w:tab/>
      </w:r>
      <w:r w:rsidRPr="00AD2E56">
        <w:rPr>
          <w:bCs/>
        </w:rPr>
        <w:t>Vyhláška č. 2/2015 Sb., o stanovení odborných kritérií a dalších náležitostí pro poskytování lázeňské léčebně rehabilitační péče.</w:t>
      </w:r>
    </w:p>
    <w:p w14:paraId="2D80C1E8" w14:textId="6D9AF0F7" w:rsidR="00AE0BCD" w:rsidRDefault="00D8337E" w:rsidP="00F52DAE">
      <w:pPr>
        <w:spacing w:line="276" w:lineRule="auto"/>
        <w:ind w:left="3544" w:hanging="3119"/>
        <w:jc w:val="both"/>
        <w:rPr>
          <w:b/>
        </w:rPr>
      </w:pPr>
      <w:r w:rsidRPr="001724F2">
        <w:rPr>
          <w:b/>
        </w:rPr>
        <w:t>Vyhláška č. 3</w:t>
      </w:r>
      <w:r w:rsidR="00AE0BCD">
        <w:rPr>
          <w:b/>
        </w:rPr>
        <w:t>15</w:t>
      </w:r>
      <w:r w:rsidRPr="001724F2">
        <w:rPr>
          <w:b/>
        </w:rPr>
        <w:t>/202</w:t>
      </w:r>
      <w:r w:rsidR="00AE0BCD">
        <w:rPr>
          <w:b/>
        </w:rPr>
        <w:t>2</w:t>
      </w:r>
      <w:r w:rsidRPr="001724F2">
        <w:rPr>
          <w:b/>
        </w:rPr>
        <w:t xml:space="preserve"> Sb.</w:t>
      </w:r>
      <w:r w:rsidRPr="001724F2">
        <w:rPr>
          <w:b/>
        </w:rPr>
        <w:tab/>
      </w:r>
      <w:r w:rsidR="00AE0BCD">
        <w:t>Vyhláška č</w:t>
      </w:r>
      <w:r w:rsidR="00AE0BCD">
        <w:rPr>
          <w:bCs/>
        </w:rPr>
        <w:t xml:space="preserve">. 315/2022 </w:t>
      </w:r>
      <w:r w:rsidR="00AE0BCD">
        <w:t>Sb., o stanovení hodnot bodu, výše úhrad hrazených služeb a regulačních omezení pro rok 2023</w:t>
      </w:r>
      <w:r w:rsidR="00AE0BCD" w:rsidRPr="00D8337E">
        <w:rPr>
          <w:b/>
        </w:rPr>
        <w:t xml:space="preserve"> </w:t>
      </w:r>
    </w:p>
    <w:p w14:paraId="21596650" w14:textId="61A90606" w:rsidR="00390531" w:rsidRPr="00AD2E56" w:rsidRDefault="00390531" w:rsidP="00F52DAE">
      <w:pPr>
        <w:spacing w:line="276" w:lineRule="auto"/>
        <w:ind w:left="3544" w:hanging="3119"/>
        <w:jc w:val="both"/>
        <w:rPr>
          <w:b/>
        </w:rPr>
      </w:pPr>
      <w:r w:rsidRPr="00AD2E56">
        <w:rPr>
          <w:b/>
        </w:rPr>
        <w:t>Nařízení vlády č. 567/2006 Sb.</w:t>
      </w:r>
      <w:r w:rsidRPr="00AD2E56">
        <w:rPr>
          <w:b/>
        </w:rPr>
        <w:tab/>
      </w:r>
      <w:r w:rsidRPr="00AD2E56">
        <w:rPr>
          <w:bCs/>
        </w:rPr>
        <w:t>Nařízení vlády č. 567/2006 Sb., o minimální mzdě a o nejnižších úrovních zaručené mzdy, o vymezení ztíženého pracovního prostředí a o výši příplatku ke mzdě za práci ve ztíženém pracovním prostředí, ve znění pozdějších předpisů.</w:t>
      </w:r>
    </w:p>
    <w:p w14:paraId="7DB6DDEE" w14:textId="77777777" w:rsidR="00390531" w:rsidRDefault="00390531" w:rsidP="00F52DAE">
      <w:pPr>
        <w:spacing w:line="276" w:lineRule="auto"/>
        <w:ind w:left="3544" w:hanging="3119"/>
        <w:jc w:val="both"/>
        <w:rPr>
          <w:bCs/>
        </w:rPr>
      </w:pPr>
      <w:r w:rsidRPr="00AD2E56">
        <w:rPr>
          <w:b/>
        </w:rPr>
        <w:t>Nařízení vlády č. 307/2012 Sb.</w:t>
      </w:r>
      <w:r w:rsidRPr="00AD2E56">
        <w:rPr>
          <w:b/>
        </w:rPr>
        <w:tab/>
      </w:r>
      <w:r w:rsidRPr="00AD2E56">
        <w:rPr>
          <w:bCs/>
        </w:rPr>
        <w:t>Nařízení vlády č. 307/2012 Sb., o místní a časové dostupnosti zdravotních služeb.</w:t>
      </w:r>
    </w:p>
    <w:p w14:paraId="1A2A1F0B" w14:textId="77777777" w:rsidR="008429AA" w:rsidRDefault="008429AA" w:rsidP="008429AA">
      <w:pPr>
        <w:spacing w:line="276" w:lineRule="auto"/>
        <w:ind w:left="3544" w:hanging="3119"/>
        <w:jc w:val="both"/>
        <w:rPr>
          <w:szCs w:val="21"/>
        </w:rPr>
      </w:pPr>
      <w:r w:rsidRPr="00AD2E56">
        <w:rPr>
          <w:b/>
        </w:rPr>
        <w:t xml:space="preserve">Nařízení vlády č. </w:t>
      </w:r>
      <w:r>
        <w:rPr>
          <w:b/>
        </w:rPr>
        <w:t>253</w:t>
      </w:r>
      <w:r w:rsidRPr="002C0D8A">
        <w:rPr>
          <w:b/>
        </w:rPr>
        <w:t>/20</w:t>
      </w:r>
      <w:r>
        <w:rPr>
          <w:b/>
        </w:rPr>
        <w:t xml:space="preserve">21 </w:t>
      </w:r>
      <w:r w:rsidRPr="00AD2E56">
        <w:rPr>
          <w:b/>
        </w:rPr>
        <w:t>Sb.</w:t>
      </w:r>
      <w:r w:rsidRPr="00AD2E56">
        <w:rPr>
          <w:b/>
        </w:rPr>
        <w:tab/>
      </w:r>
      <w:r>
        <w:rPr>
          <w:szCs w:val="21"/>
        </w:rPr>
        <w:t>Nařízení vlády č. 253/2021 Sb., n</w:t>
      </w:r>
      <w:r w:rsidRPr="007E1FCB">
        <w:rPr>
          <w:szCs w:val="21"/>
        </w:rPr>
        <w:t>ařízení vlády o stanovení vyměřovacího základu u osoby, za kterou je plátcem pojistného na veřejné zdravotní pojištění stát</w:t>
      </w:r>
      <w:r>
        <w:rPr>
          <w:szCs w:val="21"/>
        </w:rPr>
        <w:t>.</w:t>
      </w:r>
    </w:p>
    <w:p w14:paraId="4EEA95AC" w14:textId="1A9E3810" w:rsidR="00390531" w:rsidRDefault="00390531" w:rsidP="00F52DAE">
      <w:pPr>
        <w:spacing w:line="276" w:lineRule="auto"/>
        <w:ind w:left="3544" w:hanging="3119"/>
        <w:jc w:val="both"/>
        <w:rPr>
          <w:szCs w:val="21"/>
        </w:rPr>
      </w:pPr>
      <w:r w:rsidRPr="00AD2E56">
        <w:rPr>
          <w:b/>
        </w:rPr>
        <w:t xml:space="preserve">Nařízení vlády č. </w:t>
      </w:r>
      <w:r w:rsidR="00B354F6">
        <w:rPr>
          <w:b/>
        </w:rPr>
        <w:t>405</w:t>
      </w:r>
      <w:r w:rsidRPr="002C0D8A">
        <w:rPr>
          <w:b/>
        </w:rPr>
        <w:t>/20</w:t>
      </w:r>
      <w:r w:rsidR="00B354F6">
        <w:rPr>
          <w:b/>
        </w:rPr>
        <w:t>21</w:t>
      </w:r>
      <w:r w:rsidRPr="002C0D8A">
        <w:rPr>
          <w:b/>
        </w:rPr>
        <w:t xml:space="preserve"> </w:t>
      </w:r>
      <w:r w:rsidRPr="00AD2E56">
        <w:rPr>
          <w:b/>
        </w:rPr>
        <w:t>Sb.</w:t>
      </w:r>
      <w:r w:rsidRPr="00AD2E56">
        <w:rPr>
          <w:b/>
        </w:rPr>
        <w:tab/>
      </w:r>
      <w:r w:rsidRPr="002C0D8A">
        <w:rPr>
          <w:bCs/>
        </w:rPr>
        <w:t xml:space="preserve">Nařízení vlády č. </w:t>
      </w:r>
      <w:r w:rsidR="00B354F6">
        <w:rPr>
          <w:bCs/>
        </w:rPr>
        <w:t>405</w:t>
      </w:r>
      <w:r w:rsidRPr="002C0D8A">
        <w:rPr>
          <w:bCs/>
        </w:rPr>
        <w:t>/20</w:t>
      </w:r>
      <w:r w:rsidR="00B354F6">
        <w:rPr>
          <w:bCs/>
        </w:rPr>
        <w:t>21</w:t>
      </w:r>
      <w:r w:rsidRPr="002C0D8A">
        <w:rPr>
          <w:bCs/>
        </w:rPr>
        <w:t xml:space="preserve"> Sb., </w:t>
      </w:r>
      <w:r w:rsidR="00B354F6">
        <w:rPr>
          <w:szCs w:val="21"/>
        </w:rPr>
        <w:t>n</w:t>
      </w:r>
      <w:r w:rsidR="00B354F6" w:rsidRPr="00B354F6">
        <w:rPr>
          <w:szCs w:val="21"/>
        </w:rPr>
        <w:t>ařízení vlády, kterým se mění nařízení vlády č. 567/2006 Sb., o minimální mzdě, o nejnižších úrovních zaručené mzdy, o vymezení ztíženého pracovního prostředí a o výši příplatku ke mzdě za práci ve ztíženém pracovním prostředí, ve znění pozdějších předpisů</w:t>
      </w:r>
    </w:p>
    <w:p w14:paraId="34C70212" w14:textId="7A3C0931" w:rsidR="00F52DAE" w:rsidRPr="00F52DAE" w:rsidRDefault="00F52DAE" w:rsidP="00F52DAE">
      <w:pPr>
        <w:spacing w:line="276" w:lineRule="auto"/>
        <w:ind w:left="3544" w:hanging="3119"/>
        <w:jc w:val="both"/>
        <w:rPr>
          <w:b/>
          <w:szCs w:val="21"/>
        </w:rPr>
      </w:pPr>
      <w:r w:rsidRPr="00643D8F">
        <w:rPr>
          <w:b/>
          <w:bCs/>
          <w:szCs w:val="21"/>
        </w:rPr>
        <w:t>Finanční zpravodaj č. 11</w:t>
      </w:r>
      <w:r w:rsidR="006405D6">
        <w:rPr>
          <w:b/>
          <w:bCs/>
          <w:szCs w:val="21"/>
        </w:rPr>
        <w:t>–</w:t>
      </w:r>
      <w:r w:rsidRPr="00643D8F">
        <w:rPr>
          <w:b/>
          <w:bCs/>
          <w:szCs w:val="21"/>
        </w:rPr>
        <w:t>12/2003</w:t>
      </w:r>
      <w:r w:rsidRPr="00643D8F">
        <w:rPr>
          <w:bCs/>
          <w:szCs w:val="21"/>
        </w:rPr>
        <w:t xml:space="preserve"> </w:t>
      </w:r>
      <w:r w:rsidRPr="00643D8F">
        <w:rPr>
          <w:bCs/>
          <w:szCs w:val="21"/>
        </w:rPr>
        <w:tab/>
        <w:t>České účetní standardy pro účetní jednotky, které účtují podle vyhlášky č. 503/2002 Sb., ve znění pozdějších předpisů</w:t>
      </w:r>
      <w:r w:rsidR="007E1FCB">
        <w:rPr>
          <w:bCs/>
          <w:szCs w:val="21"/>
        </w:rPr>
        <w:t>.</w:t>
      </w:r>
    </w:p>
    <w:p w14:paraId="187CD75B" w14:textId="16E39B3C" w:rsidR="00390531" w:rsidRPr="00993BC8" w:rsidRDefault="00390531" w:rsidP="00F52DAE">
      <w:pPr>
        <w:spacing w:line="276" w:lineRule="auto"/>
        <w:ind w:left="3544" w:hanging="3119"/>
        <w:jc w:val="both"/>
        <w:rPr>
          <w:b/>
          <w:szCs w:val="21"/>
        </w:rPr>
      </w:pPr>
      <w:r w:rsidRPr="00F52DAE">
        <w:rPr>
          <w:b/>
          <w:szCs w:val="21"/>
        </w:rPr>
        <w:t>Finanční zpravodaj č. 8/2010</w:t>
      </w:r>
      <w:r w:rsidRPr="00F52DAE">
        <w:rPr>
          <w:b/>
          <w:szCs w:val="21"/>
        </w:rPr>
        <w:tab/>
      </w:r>
      <w:r w:rsidRPr="00F52DAE">
        <w:rPr>
          <w:bCs/>
          <w:szCs w:val="21"/>
        </w:rPr>
        <w:t>Změna Českých účetních standardů pro účetní jednotky, které účtují podle vyhlášky č. 503/2002 Sb., ve znění pozdějších předpisů.</w:t>
      </w:r>
    </w:p>
    <w:sectPr w:rsidR="00390531" w:rsidRPr="00993BC8" w:rsidSect="00904274">
      <w:footerReference w:type="even" r:id="rId24"/>
      <w:footerReference w:type="default" r:id="rId25"/>
      <w:pgSz w:w="11906" w:h="16838" w:code="9"/>
      <w:pgMar w:top="1418"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B28D7B" w14:textId="77777777" w:rsidR="00BC2BB9" w:rsidRDefault="00BC2BB9" w:rsidP="00436F6E">
      <w:pPr>
        <w:spacing w:after="0" w:line="240" w:lineRule="auto"/>
      </w:pPr>
      <w:r>
        <w:separator/>
      </w:r>
    </w:p>
  </w:endnote>
  <w:endnote w:type="continuationSeparator" w:id="0">
    <w:p w14:paraId="42D8D0FD" w14:textId="77777777" w:rsidR="00BC2BB9" w:rsidRDefault="00BC2BB9" w:rsidP="00436F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CCDA3" w14:textId="77777777" w:rsidR="00510B95" w:rsidRDefault="00510B95">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5</w:t>
    </w:r>
    <w:r>
      <w:rPr>
        <w:rStyle w:val="slostrnky"/>
      </w:rPr>
      <w:fldChar w:fldCharType="end"/>
    </w:r>
  </w:p>
  <w:p w14:paraId="3749B3EB" w14:textId="77777777" w:rsidR="00510B95" w:rsidRDefault="00510B95">
    <w:pPr>
      <w:pStyle w:val="Zpat"/>
      <w:ind w:right="360"/>
    </w:pPr>
  </w:p>
  <w:p w14:paraId="2187FFB6" w14:textId="77777777" w:rsidR="00510B95" w:rsidRDefault="00510B95"/>
  <w:p w14:paraId="7969AB93" w14:textId="77777777" w:rsidR="00510B95" w:rsidRDefault="00510B95" w:rsidP="007E01C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77281" w14:textId="0A342762" w:rsidR="00510B95" w:rsidRPr="002A3716" w:rsidRDefault="00510B95" w:rsidP="007E01C6">
    <w:pPr>
      <w:pStyle w:val="TEXT"/>
      <w:spacing w:before="0" w:line="240" w:lineRule="auto"/>
      <w:ind w:firstLine="0"/>
      <w:jc w:val="center"/>
      <w:rPr>
        <w:rStyle w:val="slostrnky"/>
        <w:rFonts w:ascii="Calibri" w:hAnsi="Calibri"/>
        <w:sz w:val="20"/>
        <w:szCs w:val="20"/>
      </w:rPr>
    </w:pPr>
    <w:r w:rsidRPr="002A3716">
      <w:rPr>
        <w:rStyle w:val="slostrnky"/>
        <w:rFonts w:ascii="Calibri" w:hAnsi="Calibri"/>
        <w:sz w:val="20"/>
        <w:szCs w:val="20"/>
      </w:rPr>
      <w:fldChar w:fldCharType="begin"/>
    </w:r>
    <w:r w:rsidRPr="002A3716">
      <w:rPr>
        <w:rStyle w:val="slostrnky"/>
        <w:rFonts w:ascii="Calibri" w:hAnsi="Calibri"/>
        <w:sz w:val="20"/>
        <w:szCs w:val="20"/>
      </w:rPr>
      <w:instrText xml:space="preserve">PAGE  </w:instrText>
    </w:r>
    <w:r w:rsidRPr="002A3716">
      <w:rPr>
        <w:rStyle w:val="slostrnky"/>
        <w:rFonts w:ascii="Calibri" w:hAnsi="Calibri"/>
        <w:sz w:val="20"/>
        <w:szCs w:val="20"/>
      </w:rPr>
      <w:fldChar w:fldCharType="separate"/>
    </w:r>
    <w:r w:rsidR="00851E7A">
      <w:rPr>
        <w:rStyle w:val="slostrnky"/>
        <w:rFonts w:ascii="Calibri" w:hAnsi="Calibri"/>
        <w:noProof/>
        <w:sz w:val="20"/>
        <w:szCs w:val="20"/>
      </w:rPr>
      <w:t>29</w:t>
    </w:r>
    <w:r w:rsidRPr="002A3716">
      <w:rPr>
        <w:rStyle w:val="slostrnky"/>
        <w:rFonts w:ascii="Calibri" w:hAnsi="Calibri"/>
        <w:sz w:val="20"/>
        <w:szCs w:val="20"/>
      </w:rPr>
      <w:fldChar w:fldCharType="end"/>
    </w:r>
  </w:p>
  <w:p w14:paraId="7C8072DC" w14:textId="77777777" w:rsidR="00510B95" w:rsidRDefault="00510B95" w:rsidP="007E01C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E285F7" w14:textId="77777777" w:rsidR="00BC2BB9" w:rsidRDefault="00BC2BB9" w:rsidP="00436F6E">
      <w:pPr>
        <w:spacing w:after="0" w:line="240" w:lineRule="auto"/>
      </w:pPr>
      <w:r>
        <w:separator/>
      </w:r>
    </w:p>
  </w:footnote>
  <w:footnote w:type="continuationSeparator" w:id="0">
    <w:p w14:paraId="072B55FB" w14:textId="77777777" w:rsidR="00BC2BB9" w:rsidRDefault="00BC2BB9" w:rsidP="00436F6E">
      <w:pPr>
        <w:spacing w:after="0" w:line="240" w:lineRule="auto"/>
      </w:pPr>
      <w:r>
        <w:continuationSeparator/>
      </w:r>
    </w:p>
  </w:footnote>
  <w:footnote w:id="1">
    <w:p w14:paraId="42D73D03" w14:textId="722000D0" w:rsidR="00510B95" w:rsidRPr="00E303B4" w:rsidRDefault="00510B95" w:rsidP="00D9104F">
      <w:pPr>
        <w:pStyle w:val="Textpoznpodarou"/>
        <w:tabs>
          <w:tab w:val="left" w:pos="284"/>
        </w:tabs>
        <w:ind w:left="284" w:hanging="284"/>
        <w:jc w:val="both"/>
        <w:rPr>
          <w:rFonts w:asciiTheme="minorHAnsi" w:hAnsiTheme="minorHAnsi" w:cstheme="minorHAnsi"/>
        </w:rPr>
      </w:pPr>
      <w:r w:rsidRPr="00D9104F">
        <w:rPr>
          <w:rStyle w:val="Znakapoznpodarou"/>
          <w:rFonts w:asciiTheme="minorHAnsi" w:hAnsiTheme="minorHAnsi" w:cstheme="minorHAnsi"/>
        </w:rPr>
        <w:footnoteRef/>
      </w:r>
      <w:r w:rsidRPr="00D9104F">
        <w:rPr>
          <w:rFonts w:asciiTheme="minorHAnsi" w:hAnsiTheme="minorHAnsi" w:cstheme="minorHAnsi"/>
          <w:vertAlign w:val="superscript"/>
        </w:rPr>
        <w:t>)</w:t>
      </w:r>
      <w:r>
        <w:rPr>
          <w:rFonts w:asciiTheme="minorHAnsi" w:hAnsiTheme="minorHAnsi" w:cstheme="minorHAnsi"/>
        </w:rPr>
        <w:t xml:space="preserve"> </w:t>
      </w:r>
      <w:r w:rsidRPr="00D9104F">
        <w:rPr>
          <w:rStyle w:val="Znakapoznpodarou"/>
          <w:rFonts w:asciiTheme="minorHAnsi" w:hAnsiTheme="minorHAnsi" w:cstheme="minorHAnsi"/>
        </w:rPr>
        <w:t xml:space="preserve"> </w:t>
      </w:r>
      <w:r>
        <w:rPr>
          <w:rFonts w:asciiTheme="minorHAnsi" w:hAnsiTheme="minorHAnsi" w:cstheme="minorHAnsi"/>
        </w:rPr>
        <w:tab/>
        <w:t xml:space="preserve">Hodnoty v textu a v příslušných tabulkách a grafech se mohou mírně odlišovat vzhledem k aplikovanému zaokrouhlování veličin. </w:t>
      </w:r>
      <w:r w:rsidRPr="00E303B4">
        <w:rPr>
          <w:rFonts w:asciiTheme="minorHAnsi" w:hAnsiTheme="minorHAnsi" w:cstheme="minorHAnsi"/>
        </w:rPr>
        <w:t xml:space="preserve"> </w:t>
      </w:r>
    </w:p>
    <w:p w14:paraId="17AB61B5" w14:textId="617AE605" w:rsidR="00510B95" w:rsidRDefault="00510B95">
      <w:pPr>
        <w:pStyle w:val="Textpoznpodarou"/>
      </w:pPr>
    </w:p>
  </w:footnote>
  <w:footnote w:id="2">
    <w:p w14:paraId="5BAA5F9B" w14:textId="2EC31FA6" w:rsidR="00510B95" w:rsidRPr="00E303B4" w:rsidRDefault="00510B95" w:rsidP="00D9104F">
      <w:pPr>
        <w:pStyle w:val="Textpoznpodarou"/>
        <w:tabs>
          <w:tab w:val="left" w:pos="284"/>
        </w:tabs>
        <w:jc w:val="both"/>
        <w:rPr>
          <w:rFonts w:asciiTheme="minorHAnsi" w:hAnsiTheme="minorHAnsi" w:cstheme="minorHAnsi"/>
        </w:rPr>
      </w:pPr>
      <w:r w:rsidRPr="00E303B4">
        <w:rPr>
          <w:rStyle w:val="Znakapoznpodarou"/>
          <w:rFonts w:asciiTheme="minorHAnsi" w:hAnsiTheme="minorHAnsi" w:cstheme="minorHAnsi"/>
        </w:rPr>
        <w:footnoteRef/>
      </w:r>
      <w:r w:rsidRPr="00E303B4">
        <w:rPr>
          <w:rFonts w:asciiTheme="minorHAnsi" w:hAnsiTheme="minorHAnsi" w:cstheme="minorHAnsi"/>
          <w:vertAlign w:val="superscript"/>
        </w:rPr>
        <w:t xml:space="preserve">) </w:t>
      </w:r>
      <w:r w:rsidRPr="00E303B4">
        <w:rPr>
          <w:rFonts w:asciiTheme="minorHAnsi" w:hAnsiTheme="minorHAnsi" w:cstheme="minorHAnsi"/>
          <w:vertAlign w:val="superscript"/>
        </w:rPr>
        <w:tab/>
      </w:r>
      <w:r w:rsidRPr="00E303B4">
        <w:rPr>
          <w:rFonts w:asciiTheme="minorHAnsi" w:hAnsiTheme="minorHAnsi" w:cstheme="minorHAnsi"/>
        </w:rPr>
        <w:t xml:space="preserve">V celém dokumentu </w:t>
      </w:r>
      <w:r>
        <w:rPr>
          <w:rFonts w:asciiTheme="minorHAnsi" w:hAnsiTheme="minorHAnsi" w:cstheme="minorHAnsi"/>
        </w:rPr>
        <w:t>se</w:t>
      </w:r>
      <w:r w:rsidRPr="00E303B4">
        <w:rPr>
          <w:rFonts w:asciiTheme="minorHAnsi" w:hAnsiTheme="minorHAnsi" w:cstheme="minorHAnsi"/>
        </w:rPr>
        <w:t xml:space="preserve"> prac</w:t>
      </w:r>
      <w:r>
        <w:rPr>
          <w:rFonts w:asciiTheme="minorHAnsi" w:hAnsiTheme="minorHAnsi" w:cstheme="minorHAnsi"/>
        </w:rPr>
        <w:t>uje</w:t>
      </w:r>
      <w:r w:rsidRPr="00E303B4">
        <w:rPr>
          <w:rFonts w:asciiTheme="minorHAnsi" w:hAnsiTheme="minorHAnsi" w:cstheme="minorHAnsi"/>
        </w:rPr>
        <w:t xml:space="preserve"> s průměrným počtem pojištěnců za sledované období. </w:t>
      </w:r>
    </w:p>
  </w:footnote>
  <w:footnote w:id="3">
    <w:p w14:paraId="2502A799" w14:textId="77777777" w:rsidR="00510B95" w:rsidRPr="00E303B4" w:rsidRDefault="00510B95" w:rsidP="0046208F">
      <w:pPr>
        <w:pStyle w:val="Textpoznpodarou"/>
        <w:tabs>
          <w:tab w:val="left" w:pos="284"/>
        </w:tabs>
        <w:ind w:left="284" w:hanging="284"/>
        <w:jc w:val="both"/>
        <w:rPr>
          <w:rFonts w:asciiTheme="minorHAnsi" w:hAnsiTheme="minorHAnsi" w:cstheme="minorHAnsi"/>
        </w:rPr>
      </w:pPr>
      <w:r w:rsidRPr="00E303B4">
        <w:rPr>
          <w:rStyle w:val="Znakapoznpodarou"/>
          <w:rFonts w:asciiTheme="minorHAnsi" w:hAnsiTheme="minorHAnsi" w:cstheme="minorHAnsi"/>
        </w:rPr>
        <w:footnoteRef/>
      </w:r>
      <w:r w:rsidRPr="00E303B4">
        <w:rPr>
          <w:rFonts w:asciiTheme="minorHAnsi" w:hAnsiTheme="minorHAnsi" w:cstheme="minorHAnsi"/>
          <w:vertAlign w:val="superscript"/>
        </w:rPr>
        <w:t xml:space="preserve">) </w:t>
      </w:r>
      <w:r w:rsidRPr="00E303B4">
        <w:rPr>
          <w:rFonts w:asciiTheme="minorHAnsi" w:hAnsiTheme="minorHAnsi" w:cstheme="minorHAnsi"/>
          <w:vertAlign w:val="superscript"/>
        </w:rPr>
        <w:tab/>
      </w:r>
      <w:r w:rsidRPr="00E303B4">
        <w:rPr>
          <w:rFonts w:asciiTheme="minorHAnsi" w:hAnsiTheme="minorHAnsi" w:cstheme="minorHAnsi"/>
        </w:rPr>
        <w:t>Ukazatel „výdajů na vlastní činnost“ představuje snahu zachytit co nejširší okruh výdajů, které se přímo netýkají úhrady zdravotních služeb. Oproti úžeji definovanému „maximálnímu limitu nákladů na vlastní činnosti“, kromě rozdílů v pojetí „výdajů“ a „nákladů“, zachycuje také výdaje provozního charakteru hrazené ze ZFZP i všech ostatních fondů, kterých se zmíněný limit netýká. Zahrnuje též jinou činnost. Výdaje na vlastní činnost tak mohou zmíněný limit převyšovat. Naopak, z ukazatele jsou vyloučeny všechny financující operace, byť mohou být prováděny např. z provozního fondu, kurzové ztráty, změny stavu hodnoty aktiv (nejedná se o cash-flow) a interní převody mezi fondy.</w:t>
      </w:r>
    </w:p>
  </w:footnote>
  <w:footnote w:id="4">
    <w:p w14:paraId="71E45B31" w14:textId="77777777" w:rsidR="00510B95" w:rsidRPr="00AD2E56" w:rsidRDefault="00510B95" w:rsidP="0046208F">
      <w:pPr>
        <w:pStyle w:val="Textpoznpodarou"/>
        <w:tabs>
          <w:tab w:val="left" w:pos="284"/>
        </w:tabs>
        <w:ind w:left="284" w:hanging="284"/>
        <w:jc w:val="both"/>
        <w:rPr>
          <w:rFonts w:asciiTheme="minorHAnsi" w:hAnsiTheme="minorHAnsi" w:cstheme="minorHAnsi"/>
        </w:rPr>
      </w:pPr>
      <w:r w:rsidRPr="00E303B4">
        <w:rPr>
          <w:rStyle w:val="Znakapoznpodarou"/>
          <w:rFonts w:asciiTheme="minorHAnsi" w:hAnsiTheme="minorHAnsi" w:cstheme="minorHAnsi"/>
        </w:rPr>
        <w:footnoteRef/>
      </w:r>
      <w:r w:rsidRPr="00E303B4">
        <w:rPr>
          <w:rFonts w:asciiTheme="minorHAnsi" w:hAnsiTheme="minorHAnsi" w:cstheme="minorHAnsi"/>
          <w:vertAlign w:val="superscript"/>
        </w:rPr>
        <w:t xml:space="preserve">) </w:t>
      </w:r>
      <w:r w:rsidRPr="00E303B4">
        <w:rPr>
          <w:rFonts w:asciiTheme="minorHAnsi" w:hAnsiTheme="minorHAnsi" w:cstheme="minorHAnsi"/>
          <w:vertAlign w:val="superscript"/>
        </w:rPr>
        <w:tab/>
      </w:r>
      <w:r w:rsidRPr="00E303B4">
        <w:rPr>
          <w:rFonts w:asciiTheme="minorHAnsi" w:hAnsiTheme="minorHAnsi" w:cstheme="minorHAnsi"/>
        </w:rPr>
        <w:t>Ukazatel „výdajů na preventivní programy“ zpřesňuje údaje o „výdajích na preventivní programy“ z části B Fondu prevence zdravotní pojišťovny zohledněním vlivu zúčtování s pojištěnci</w:t>
      </w:r>
      <w:r w:rsidRPr="00AD2E56">
        <w:rPr>
          <w:rFonts w:asciiTheme="minorHAnsi" w:hAnsiTheme="minorHAnsi" w:cstheme="minorHAnsi"/>
        </w:rPr>
        <w:t>.</w:t>
      </w:r>
    </w:p>
  </w:footnote>
  <w:footnote w:id="5">
    <w:p w14:paraId="1847FBB4" w14:textId="77777777" w:rsidR="00510B95" w:rsidRDefault="00510B95" w:rsidP="00A91064">
      <w:pPr>
        <w:pStyle w:val="Textpoznpodarou"/>
        <w:tabs>
          <w:tab w:val="left" w:pos="284"/>
        </w:tabs>
        <w:ind w:left="280" w:hanging="280"/>
        <w:jc w:val="both"/>
      </w:pPr>
      <w:r w:rsidRPr="00736692">
        <w:rPr>
          <w:rStyle w:val="Znakapoznpodarou"/>
          <w:rFonts w:asciiTheme="minorHAnsi" w:hAnsiTheme="minorHAnsi" w:cstheme="minorHAnsi"/>
        </w:rPr>
        <w:footnoteRef/>
      </w:r>
      <w:r w:rsidRPr="00736692">
        <w:rPr>
          <w:rFonts w:asciiTheme="minorHAnsi" w:hAnsiTheme="minorHAnsi" w:cstheme="minorHAnsi"/>
          <w:vertAlign w:val="superscript"/>
        </w:rPr>
        <w:t xml:space="preserve">) </w:t>
      </w:r>
      <w:r>
        <w:rPr>
          <w:rFonts w:asciiTheme="minorHAnsi" w:hAnsiTheme="minorHAnsi" w:cstheme="minorHAnsi"/>
        </w:rPr>
        <w:t xml:space="preserve"> </w:t>
      </w:r>
      <w:r>
        <w:rPr>
          <w:rFonts w:asciiTheme="minorHAnsi" w:hAnsiTheme="minorHAnsi" w:cstheme="minorHAnsi"/>
        </w:rPr>
        <w:tab/>
      </w:r>
      <w:r w:rsidRPr="00E303B4">
        <w:rPr>
          <w:rFonts w:ascii="Calibri" w:hAnsi="Calibri"/>
        </w:rPr>
        <w:t>Jedná se o opravné položky celkem za plátci pojistného i k majetku (dle Přehledu údajů o činnosti zdravotní pojišťovny).</w:t>
      </w:r>
    </w:p>
  </w:footnote>
  <w:footnote w:id="6">
    <w:p w14:paraId="6B6D5D17" w14:textId="77777777" w:rsidR="00510B95" w:rsidRPr="00AD2E56" w:rsidRDefault="00510B95" w:rsidP="006D3803">
      <w:pPr>
        <w:pStyle w:val="Textpoznpodarou"/>
        <w:tabs>
          <w:tab w:val="left" w:pos="284"/>
        </w:tabs>
        <w:ind w:left="284" w:hanging="284"/>
        <w:jc w:val="both"/>
        <w:rPr>
          <w:rFonts w:asciiTheme="minorHAnsi" w:hAnsiTheme="minorHAnsi" w:cstheme="minorHAnsi"/>
          <w:sz w:val="16"/>
          <w:szCs w:val="16"/>
          <w:highlight w:val="cyan"/>
        </w:rPr>
      </w:pPr>
      <w:r w:rsidRPr="00E303B4">
        <w:rPr>
          <w:rStyle w:val="Znakapoznpodarou"/>
          <w:rFonts w:ascii="Calibri" w:hAnsi="Calibri" w:cstheme="minorHAnsi"/>
        </w:rPr>
        <w:footnoteRef/>
      </w:r>
      <w:r w:rsidRPr="00E303B4">
        <w:rPr>
          <w:rFonts w:ascii="Calibri" w:hAnsi="Calibri" w:cstheme="minorHAnsi"/>
          <w:vertAlign w:val="superscript"/>
        </w:rPr>
        <w:t xml:space="preserve">)  </w:t>
      </w:r>
      <w:r w:rsidRPr="00E303B4">
        <w:rPr>
          <w:rFonts w:ascii="Calibri" w:hAnsi="Calibri" w:cstheme="minorHAnsi"/>
          <w:vertAlign w:val="superscript"/>
        </w:rPr>
        <w:tab/>
      </w:r>
      <w:r w:rsidRPr="00E303B4">
        <w:rPr>
          <w:rFonts w:ascii="Calibri" w:hAnsi="Calibri" w:cstheme="minorHAnsi"/>
        </w:rPr>
        <w:t xml:space="preserve">V tabulkové příloze </w:t>
      </w:r>
      <w:r w:rsidRPr="00E303B4">
        <w:rPr>
          <w:rFonts w:ascii="Calibri" w:hAnsi="Calibri" w:cstheme="minorHAnsi"/>
          <w:i/>
          <w:iCs/>
        </w:rPr>
        <w:t>Tabulka č. 1</w:t>
      </w:r>
      <w:r w:rsidRPr="00E303B4">
        <w:rPr>
          <w:rFonts w:ascii="Calibri" w:hAnsi="Calibri" w:cstheme="minorHAnsi"/>
        </w:rPr>
        <w:t xml:space="preserve"> nejsou tyto údaje uvedeny, neboť nejsou součástí „čisté výše“ pohledávek.</w:t>
      </w:r>
      <w:r w:rsidRPr="00E303B4">
        <w:rPr>
          <w:rFonts w:asciiTheme="minorHAnsi" w:hAnsiTheme="minorHAnsi" w:cstheme="minorHAnsi"/>
        </w:rPr>
        <w:t xml:space="preserve"> </w:t>
      </w:r>
    </w:p>
  </w:footnote>
  <w:footnote w:id="7">
    <w:p w14:paraId="54215C91" w14:textId="314F1A74" w:rsidR="00510B95" w:rsidRPr="006B0B9C" w:rsidRDefault="00510B95" w:rsidP="006D3803">
      <w:pPr>
        <w:pStyle w:val="Textpoznpodarou"/>
        <w:ind w:left="284" w:hanging="284"/>
        <w:jc w:val="both"/>
        <w:rPr>
          <w:rFonts w:asciiTheme="minorHAnsi" w:hAnsiTheme="minorHAnsi" w:cstheme="minorHAnsi"/>
        </w:rPr>
      </w:pPr>
      <w:r w:rsidRPr="006B0B9C">
        <w:rPr>
          <w:rStyle w:val="Znakapoznpodarou"/>
          <w:rFonts w:asciiTheme="minorHAnsi" w:hAnsiTheme="minorHAnsi" w:cstheme="minorHAnsi"/>
        </w:rPr>
        <w:footnoteRef/>
      </w:r>
      <w:r w:rsidRPr="006B0B9C">
        <w:rPr>
          <w:rFonts w:asciiTheme="minorHAnsi" w:hAnsiTheme="minorHAnsi" w:cstheme="minorHAnsi"/>
          <w:vertAlign w:val="superscript"/>
        </w:rPr>
        <w:t xml:space="preserve">)  </w:t>
      </w:r>
      <w:r>
        <w:rPr>
          <w:rFonts w:asciiTheme="minorHAnsi" w:hAnsiTheme="minorHAnsi" w:cstheme="minorHAnsi"/>
        </w:rPr>
        <w:tab/>
        <w:t>Údaje o státních pojištěncích se vlivem korekcí počtů pojištěnců mohou drobně lišit od statistik Ministerstva financí.</w:t>
      </w:r>
    </w:p>
  </w:footnote>
  <w:footnote w:id="8">
    <w:p w14:paraId="6029C2F8" w14:textId="02A07B95" w:rsidR="00510B95" w:rsidRPr="00CF6DD7" w:rsidRDefault="00510B95" w:rsidP="00643D8F">
      <w:pPr>
        <w:shd w:val="clear" w:color="auto" w:fill="FFFFFF"/>
        <w:spacing w:after="0" w:line="240" w:lineRule="auto"/>
        <w:ind w:left="284" w:hanging="284"/>
        <w:jc w:val="both"/>
        <w:rPr>
          <w:rFonts w:cstheme="minorHAnsi"/>
          <w:sz w:val="20"/>
          <w:szCs w:val="20"/>
          <w:shd w:val="clear" w:color="auto" w:fill="FFFFFF"/>
        </w:rPr>
      </w:pPr>
      <w:r w:rsidRPr="00413DE3">
        <w:rPr>
          <w:rStyle w:val="Znakapoznpodarou"/>
          <w:sz w:val="20"/>
          <w:szCs w:val="20"/>
        </w:rPr>
        <w:footnoteRef/>
      </w:r>
      <w:r w:rsidRPr="00643D8F">
        <w:rPr>
          <w:sz w:val="20"/>
          <w:szCs w:val="20"/>
          <w:vertAlign w:val="superscript"/>
        </w:rPr>
        <w:t>)</w:t>
      </w:r>
      <w:r w:rsidRPr="00CF6DD7">
        <w:rPr>
          <w:sz w:val="20"/>
          <w:szCs w:val="20"/>
        </w:rPr>
        <w:t xml:space="preserve"> </w:t>
      </w:r>
      <w:r>
        <w:rPr>
          <w:sz w:val="20"/>
          <w:szCs w:val="20"/>
        </w:rPr>
        <w:tab/>
      </w:r>
      <w:r w:rsidRPr="00CF6DD7">
        <w:rPr>
          <w:rFonts w:cstheme="minorHAnsi"/>
          <w:color w:val="212121"/>
          <w:sz w:val="20"/>
          <w:szCs w:val="20"/>
        </w:rPr>
        <w:t>Započitatelné doplatky na léky jsou ty, které se počítají do ochranného limitu pacienta.</w:t>
      </w:r>
      <w:r w:rsidRPr="00CF6DD7">
        <w:rPr>
          <w:rFonts w:cstheme="minorHAnsi"/>
          <w:sz w:val="20"/>
          <w:szCs w:val="20"/>
          <w:shd w:val="clear" w:color="auto" w:fill="FFFFFF"/>
        </w:rPr>
        <w:t xml:space="preserve"> </w:t>
      </w:r>
      <w:r w:rsidRPr="00CF6DD7">
        <w:rPr>
          <w:rFonts w:cstheme="minorHAnsi"/>
          <w:sz w:val="20"/>
          <w:szCs w:val="20"/>
        </w:rPr>
        <w:t xml:space="preserve">Zároveň je nutné uvést, že nikoliv každý doplatek je možné započítávat do limitu. Do ochranného limitu pacienta se podle zákona započítávají </w:t>
      </w:r>
      <w:r w:rsidRPr="00CF6DD7">
        <w:rPr>
          <w:rFonts w:cstheme="minorHAnsi"/>
          <w:color w:val="000000"/>
          <w:sz w:val="20"/>
          <w:szCs w:val="20"/>
          <w:shd w:val="clear" w:color="auto" w:fill="FFFFFF"/>
        </w:rPr>
        <w:t xml:space="preserve">doplatky za </w:t>
      </w:r>
      <w:r w:rsidRPr="00CF6DD7">
        <w:rPr>
          <w:rFonts w:cstheme="minorHAnsi"/>
          <w:sz w:val="20"/>
          <w:szCs w:val="20"/>
        </w:rPr>
        <w:t>pojišťovnou</w:t>
      </w:r>
      <w:r w:rsidRPr="00CF6DD7">
        <w:rPr>
          <w:rFonts w:cstheme="minorHAnsi"/>
          <w:sz w:val="20"/>
          <w:szCs w:val="20"/>
          <w:shd w:val="clear" w:color="auto" w:fill="FFFFFF"/>
        </w:rPr>
        <w:t xml:space="preserve"> </w:t>
      </w:r>
      <w:r w:rsidRPr="00CF6DD7">
        <w:rPr>
          <w:rFonts w:cstheme="minorHAnsi"/>
          <w:color w:val="000000"/>
          <w:sz w:val="20"/>
          <w:szCs w:val="20"/>
          <w:shd w:val="clear" w:color="auto" w:fill="FFFFFF"/>
        </w:rPr>
        <w:t>částečně hrazené léky, a to ve výši doplatku na nejlevnější lék, který obsahuje stejnou léčivou látku se stejnou cestou podání.</w:t>
      </w:r>
      <w:r w:rsidRPr="00CF6DD7">
        <w:rPr>
          <w:rFonts w:cstheme="minorHAnsi"/>
          <w:sz w:val="20"/>
          <w:szCs w:val="20"/>
        </w:rPr>
        <w:t xml:space="preserve"> Při překročení limitu započitatelných doplatků poté zdravotní pojišťovna vrací pojištěnci peníze automaticky do 60 dnů od skončení kalendářního čtvrtletí, v němž došlo k vyčerpání limitu započitatelných doplatků.</w:t>
      </w:r>
    </w:p>
    <w:p w14:paraId="45CC649E" w14:textId="3D299B4E" w:rsidR="00510B95" w:rsidRDefault="00510B95">
      <w:pPr>
        <w:pStyle w:val="Textpoznpodarou"/>
      </w:pPr>
    </w:p>
  </w:footnote>
  <w:footnote w:id="9">
    <w:p w14:paraId="5423BDDE" w14:textId="61905F11" w:rsidR="00510B95" w:rsidRPr="005F2F8B" w:rsidRDefault="00510B95" w:rsidP="00705EEE">
      <w:pPr>
        <w:pStyle w:val="Textpoznpodarou"/>
        <w:ind w:left="284" w:hanging="284"/>
        <w:jc w:val="both"/>
        <w:rPr>
          <w:rFonts w:ascii="Calibri" w:hAnsi="Calibri" w:cs="Calibri"/>
        </w:rPr>
      </w:pPr>
      <w:r w:rsidRPr="005F2F8B">
        <w:rPr>
          <w:rStyle w:val="Znakapoznpodarou"/>
          <w:rFonts w:ascii="Calibri" w:hAnsi="Calibri" w:cs="Calibri"/>
        </w:rPr>
        <w:footnoteRef/>
      </w:r>
      <w:r w:rsidRPr="005F2F8B">
        <w:rPr>
          <w:rFonts w:ascii="Calibri" w:hAnsi="Calibri" w:cs="Calibri"/>
          <w:vertAlign w:val="superscript"/>
        </w:rPr>
        <w:t>)</w:t>
      </w:r>
      <w:r w:rsidRPr="005F2F8B">
        <w:rPr>
          <w:rFonts w:ascii="Calibri" w:hAnsi="Calibri" w:cs="Calibri"/>
        </w:rPr>
        <w:t xml:space="preserve"> </w:t>
      </w:r>
      <w:r w:rsidRPr="000441B9">
        <w:rPr>
          <w:rFonts w:ascii="Calibri" w:hAnsi="Calibri" w:cs="Calibri"/>
        </w:rPr>
        <w:t>Zdravotní pojišťovny v roce 2021 koordinovaně vyhověly požadavku Ministerstva zdravotnictví a zajistily prostřednictvím fondu prevence podporu provádění samoodběrových testů na COVID-19 laickou osobou – antigenní testování zaměstnanců ve firmách a OSVČ na stanovení přítomnosti antigenu viru SARS-CoV-2.</w:t>
      </w:r>
    </w:p>
  </w:footnote>
  <w:footnote w:id="10">
    <w:p w14:paraId="77C1FD73" w14:textId="5149D264" w:rsidR="00510B95" w:rsidRDefault="00510B95" w:rsidP="00462D96">
      <w:pPr>
        <w:pStyle w:val="Textpoznpodarou"/>
      </w:pPr>
      <w:r>
        <w:rPr>
          <w:rStyle w:val="Znakapoznpodarou"/>
        </w:rPr>
        <w:footnoteRef/>
      </w:r>
      <w:r>
        <w:t xml:space="preserve"> </w:t>
      </w:r>
      <w:r w:rsidR="000E7F30">
        <w:t>§ 7a  z</w:t>
      </w:r>
      <w:r>
        <w:t>ákon</w:t>
      </w:r>
      <w:r w:rsidR="000E7F30">
        <w:t>a</w:t>
      </w:r>
      <w:r>
        <w:t xml:space="preserve"> č. 551/1991 Sb., resp. </w:t>
      </w:r>
      <w:r w:rsidR="000E7F30">
        <w:t>§ 7 z</w:t>
      </w:r>
      <w:r>
        <w:t>ákon</w:t>
      </w:r>
      <w:r w:rsidR="000E7F30">
        <w:t>a</w:t>
      </w:r>
      <w:r>
        <w:t xml:space="preserve"> č. 280/1992 Sb.</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B8015F"/>
    <w:multiLevelType w:val="hybridMultilevel"/>
    <w:tmpl w:val="83189CB2"/>
    <w:lvl w:ilvl="0" w:tplc="04050001">
      <w:start w:val="1"/>
      <w:numFmt w:val="bullet"/>
      <w:lvlText w:val=""/>
      <w:lvlJc w:val="left"/>
      <w:pPr>
        <w:ind w:left="786" w:hanging="360"/>
      </w:pPr>
      <w:rPr>
        <w:rFonts w:ascii="Symbol" w:hAnsi="Symbol" w:hint="default"/>
      </w:rPr>
    </w:lvl>
    <w:lvl w:ilvl="1" w:tplc="04050003">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1" w15:restartNumberingAfterBreak="0">
    <w:nsid w:val="06C309FE"/>
    <w:multiLevelType w:val="multilevel"/>
    <w:tmpl w:val="EFFE63E8"/>
    <w:lvl w:ilvl="0">
      <w:start w:val="1"/>
      <w:numFmt w:val="decimal"/>
      <w:pStyle w:val="Nadpis1"/>
      <w:lvlText w:val="%1"/>
      <w:lvlJc w:val="left"/>
      <w:pPr>
        <w:ind w:left="432" w:hanging="432"/>
      </w:pPr>
    </w:lvl>
    <w:lvl w:ilvl="1">
      <w:start w:val="1"/>
      <w:numFmt w:val="decimal"/>
      <w:pStyle w:val="Nadpis2"/>
      <w:lvlText w:val="%1.%2"/>
      <w:lvlJc w:val="left"/>
      <w:pPr>
        <w:ind w:left="1144" w:hanging="576"/>
      </w:pPr>
      <w:rPr>
        <w:rFonts w:asciiTheme="minorHAnsi" w:hAnsiTheme="minorHAnsi" w:cstheme="minorHAnsi" w:hint="default"/>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 w15:restartNumberingAfterBreak="0">
    <w:nsid w:val="18996B2C"/>
    <w:multiLevelType w:val="hybridMultilevel"/>
    <w:tmpl w:val="9B045F9E"/>
    <w:lvl w:ilvl="0" w:tplc="04050001">
      <w:start w:val="1"/>
      <w:numFmt w:val="bullet"/>
      <w:lvlText w:val=""/>
      <w:lvlJc w:val="left"/>
      <w:pPr>
        <w:ind w:left="786" w:hanging="360"/>
      </w:pPr>
      <w:rPr>
        <w:rFonts w:ascii="Symbol" w:hAnsi="Symbol" w:hint="default"/>
      </w:rPr>
    </w:lvl>
    <w:lvl w:ilvl="1" w:tplc="04050003">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3" w15:restartNumberingAfterBreak="0">
    <w:nsid w:val="19760197"/>
    <w:multiLevelType w:val="hybridMultilevel"/>
    <w:tmpl w:val="D15898F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A637F56"/>
    <w:multiLevelType w:val="hybridMultilevel"/>
    <w:tmpl w:val="A4001366"/>
    <w:lvl w:ilvl="0" w:tplc="04050003">
      <w:start w:val="1"/>
      <w:numFmt w:val="bullet"/>
      <w:lvlText w:val="o"/>
      <w:lvlJc w:val="left"/>
      <w:pPr>
        <w:ind w:left="786" w:hanging="360"/>
      </w:pPr>
      <w:rPr>
        <w:rFonts w:ascii="Courier New" w:hAnsi="Courier New" w:cs="Courier New" w:hint="default"/>
      </w:rPr>
    </w:lvl>
    <w:lvl w:ilvl="1" w:tplc="0405000D">
      <w:start w:val="1"/>
      <w:numFmt w:val="bullet"/>
      <w:lvlText w:val=""/>
      <w:lvlJc w:val="left"/>
      <w:pPr>
        <w:ind w:left="1070" w:hanging="360"/>
      </w:pPr>
      <w:rPr>
        <w:rFonts w:ascii="Wingdings" w:hAnsi="Wingdings" w:hint="default"/>
      </w:rPr>
    </w:lvl>
    <w:lvl w:ilvl="2" w:tplc="04050005">
      <w:start w:val="1"/>
      <w:numFmt w:val="bullet"/>
      <w:lvlText w:val=""/>
      <w:lvlJc w:val="left"/>
      <w:pPr>
        <w:ind w:left="2226" w:hanging="360"/>
      </w:pPr>
      <w:rPr>
        <w:rFonts w:ascii="Wingdings" w:hAnsi="Wingdings" w:hint="default"/>
      </w:rPr>
    </w:lvl>
    <w:lvl w:ilvl="3" w:tplc="0405000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5" w15:restartNumberingAfterBreak="0">
    <w:nsid w:val="2F2A1CFC"/>
    <w:multiLevelType w:val="hybridMultilevel"/>
    <w:tmpl w:val="B2B0A2EE"/>
    <w:lvl w:ilvl="0" w:tplc="35183C86">
      <w:start w:val="1"/>
      <w:numFmt w:val="bullet"/>
      <w:lvlText w:val=""/>
      <w:lvlJc w:val="left"/>
      <w:pPr>
        <w:ind w:left="720" w:hanging="360"/>
      </w:pPr>
      <w:rPr>
        <w:rFonts w:ascii="Symbol" w:hAnsi="Symbol" w:cs="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cs="Wingdings" w:hint="default"/>
      </w:rPr>
    </w:lvl>
    <w:lvl w:ilvl="3" w:tplc="04050001" w:tentative="1">
      <w:start w:val="1"/>
      <w:numFmt w:val="bullet"/>
      <w:lvlText w:val=""/>
      <w:lvlJc w:val="left"/>
      <w:pPr>
        <w:ind w:left="2880" w:hanging="360"/>
      </w:pPr>
      <w:rPr>
        <w:rFonts w:ascii="Symbol" w:hAnsi="Symbol" w:cs="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cs="Wingdings" w:hint="default"/>
      </w:rPr>
    </w:lvl>
    <w:lvl w:ilvl="6" w:tplc="04050001" w:tentative="1">
      <w:start w:val="1"/>
      <w:numFmt w:val="bullet"/>
      <w:lvlText w:val=""/>
      <w:lvlJc w:val="left"/>
      <w:pPr>
        <w:ind w:left="5040" w:hanging="360"/>
      </w:pPr>
      <w:rPr>
        <w:rFonts w:ascii="Symbol" w:hAnsi="Symbol" w:cs="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cs="Wingdings" w:hint="default"/>
      </w:rPr>
    </w:lvl>
  </w:abstractNum>
  <w:abstractNum w:abstractNumId="6" w15:restartNumberingAfterBreak="0">
    <w:nsid w:val="319BAEB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49B86D30"/>
    <w:multiLevelType w:val="hybridMultilevel"/>
    <w:tmpl w:val="94620D1A"/>
    <w:lvl w:ilvl="0" w:tplc="04050001">
      <w:start w:val="1"/>
      <w:numFmt w:val="bullet"/>
      <w:lvlText w:val=""/>
      <w:lvlJc w:val="left"/>
      <w:pPr>
        <w:ind w:left="786" w:hanging="360"/>
      </w:pPr>
      <w:rPr>
        <w:rFonts w:ascii="Symbol" w:hAnsi="Symbol" w:hint="default"/>
      </w:rPr>
    </w:lvl>
    <w:lvl w:ilvl="1" w:tplc="04050003">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8" w15:restartNumberingAfterBreak="0">
    <w:nsid w:val="6B94652C"/>
    <w:multiLevelType w:val="hybridMultilevel"/>
    <w:tmpl w:val="356855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72FD14E3"/>
    <w:multiLevelType w:val="hybridMultilevel"/>
    <w:tmpl w:val="A7D29DDA"/>
    <w:lvl w:ilvl="0" w:tplc="91087E0A">
      <w:numFmt w:val="bullet"/>
      <w:lvlText w:val="-"/>
      <w:lvlJc w:val="left"/>
      <w:pPr>
        <w:ind w:left="1800" w:hanging="360"/>
      </w:pPr>
      <w:rPr>
        <w:rFonts w:ascii="Calibri" w:eastAsiaTheme="minorHAnsi" w:hAnsi="Calibri" w:cs="Calibri" w:hint="default"/>
      </w:rPr>
    </w:lvl>
    <w:lvl w:ilvl="1" w:tplc="04050003" w:tentative="1">
      <w:start w:val="1"/>
      <w:numFmt w:val="bullet"/>
      <w:lvlText w:val="o"/>
      <w:lvlJc w:val="left"/>
      <w:pPr>
        <w:ind w:left="2520" w:hanging="360"/>
      </w:pPr>
      <w:rPr>
        <w:rFonts w:ascii="Courier New" w:hAnsi="Courier New" w:cs="Courier New" w:hint="default"/>
      </w:rPr>
    </w:lvl>
    <w:lvl w:ilvl="2" w:tplc="04050005" w:tentative="1">
      <w:start w:val="1"/>
      <w:numFmt w:val="bullet"/>
      <w:lvlText w:val=""/>
      <w:lvlJc w:val="left"/>
      <w:pPr>
        <w:ind w:left="3240" w:hanging="360"/>
      </w:pPr>
      <w:rPr>
        <w:rFonts w:ascii="Wingdings" w:hAnsi="Wingdings" w:hint="default"/>
      </w:rPr>
    </w:lvl>
    <w:lvl w:ilvl="3" w:tplc="04050001" w:tentative="1">
      <w:start w:val="1"/>
      <w:numFmt w:val="bullet"/>
      <w:lvlText w:val=""/>
      <w:lvlJc w:val="left"/>
      <w:pPr>
        <w:ind w:left="3960" w:hanging="360"/>
      </w:pPr>
      <w:rPr>
        <w:rFonts w:ascii="Symbol" w:hAnsi="Symbol" w:hint="default"/>
      </w:rPr>
    </w:lvl>
    <w:lvl w:ilvl="4" w:tplc="04050003" w:tentative="1">
      <w:start w:val="1"/>
      <w:numFmt w:val="bullet"/>
      <w:lvlText w:val="o"/>
      <w:lvlJc w:val="left"/>
      <w:pPr>
        <w:ind w:left="4680" w:hanging="360"/>
      </w:pPr>
      <w:rPr>
        <w:rFonts w:ascii="Courier New" w:hAnsi="Courier New" w:cs="Courier New" w:hint="default"/>
      </w:rPr>
    </w:lvl>
    <w:lvl w:ilvl="5" w:tplc="04050005" w:tentative="1">
      <w:start w:val="1"/>
      <w:numFmt w:val="bullet"/>
      <w:lvlText w:val=""/>
      <w:lvlJc w:val="left"/>
      <w:pPr>
        <w:ind w:left="5400" w:hanging="360"/>
      </w:pPr>
      <w:rPr>
        <w:rFonts w:ascii="Wingdings" w:hAnsi="Wingdings" w:hint="default"/>
      </w:rPr>
    </w:lvl>
    <w:lvl w:ilvl="6" w:tplc="04050001" w:tentative="1">
      <w:start w:val="1"/>
      <w:numFmt w:val="bullet"/>
      <w:lvlText w:val=""/>
      <w:lvlJc w:val="left"/>
      <w:pPr>
        <w:ind w:left="6120" w:hanging="360"/>
      </w:pPr>
      <w:rPr>
        <w:rFonts w:ascii="Symbol" w:hAnsi="Symbol" w:hint="default"/>
      </w:rPr>
    </w:lvl>
    <w:lvl w:ilvl="7" w:tplc="04050003" w:tentative="1">
      <w:start w:val="1"/>
      <w:numFmt w:val="bullet"/>
      <w:lvlText w:val="o"/>
      <w:lvlJc w:val="left"/>
      <w:pPr>
        <w:ind w:left="6840" w:hanging="360"/>
      </w:pPr>
      <w:rPr>
        <w:rFonts w:ascii="Courier New" w:hAnsi="Courier New" w:cs="Courier New" w:hint="default"/>
      </w:rPr>
    </w:lvl>
    <w:lvl w:ilvl="8" w:tplc="04050005" w:tentative="1">
      <w:start w:val="1"/>
      <w:numFmt w:val="bullet"/>
      <w:lvlText w:val=""/>
      <w:lvlJc w:val="left"/>
      <w:pPr>
        <w:ind w:left="7560" w:hanging="360"/>
      </w:pPr>
      <w:rPr>
        <w:rFonts w:ascii="Wingdings" w:hAnsi="Wingdings" w:hint="default"/>
      </w:rPr>
    </w:lvl>
  </w:abstractNum>
  <w:num w:numId="1">
    <w:abstractNumId w:val="1"/>
  </w:num>
  <w:num w:numId="2">
    <w:abstractNumId w:val="5"/>
  </w:num>
  <w:num w:numId="3">
    <w:abstractNumId w:val="9"/>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num>
  <w:num w:numId="6">
    <w:abstractNumId w:val="2"/>
  </w:num>
  <w:num w:numId="7">
    <w:abstractNumId w:val="0"/>
  </w:num>
  <w:num w:numId="8">
    <w:abstractNumId w:val="7"/>
  </w:num>
  <w:num w:numId="9">
    <w:abstractNumId w:val="8"/>
  </w:num>
  <w:num w:numId="10">
    <w:abstractNumId w:val="3"/>
  </w:num>
  <w:num w:numId="11">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6F6E"/>
    <w:rsid w:val="00000876"/>
    <w:rsid w:val="0000173D"/>
    <w:rsid w:val="00002B28"/>
    <w:rsid w:val="0000360D"/>
    <w:rsid w:val="00006682"/>
    <w:rsid w:val="000109D2"/>
    <w:rsid w:val="00011B2D"/>
    <w:rsid w:val="000147D7"/>
    <w:rsid w:val="00014E04"/>
    <w:rsid w:val="00015477"/>
    <w:rsid w:val="0001592D"/>
    <w:rsid w:val="00020708"/>
    <w:rsid w:val="0002242B"/>
    <w:rsid w:val="0002268B"/>
    <w:rsid w:val="00023CB5"/>
    <w:rsid w:val="00023D5A"/>
    <w:rsid w:val="00030820"/>
    <w:rsid w:val="00031B92"/>
    <w:rsid w:val="000321A8"/>
    <w:rsid w:val="0003225B"/>
    <w:rsid w:val="00033EAA"/>
    <w:rsid w:val="00037363"/>
    <w:rsid w:val="0003756A"/>
    <w:rsid w:val="00040258"/>
    <w:rsid w:val="00043D24"/>
    <w:rsid w:val="000441B9"/>
    <w:rsid w:val="000454DE"/>
    <w:rsid w:val="000458EB"/>
    <w:rsid w:val="00046FEC"/>
    <w:rsid w:val="00052299"/>
    <w:rsid w:val="00054464"/>
    <w:rsid w:val="00054B08"/>
    <w:rsid w:val="000568CC"/>
    <w:rsid w:val="00056DDA"/>
    <w:rsid w:val="00060801"/>
    <w:rsid w:val="00061FEB"/>
    <w:rsid w:val="00062090"/>
    <w:rsid w:val="000638B2"/>
    <w:rsid w:val="00063D2D"/>
    <w:rsid w:val="00064AFB"/>
    <w:rsid w:val="00064FD0"/>
    <w:rsid w:val="00066567"/>
    <w:rsid w:val="00066BE4"/>
    <w:rsid w:val="00067CD4"/>
    <w:rsid w:val="00071605"/>
    <w:rsid w:val="000719C3"/>
    <w:rsid w:val="00074662"/>
    <w:rsid w:val="00075334"/>
    <w:rsid w:val="00077E10"/>
    <w:rsid w:val="0008006B"/>
    <w:rsid w:val="00080334"/>
    <w:rsid w:val="000842A3"/>
    <w:rsid w:val="00084B1C"/>
    <w:rsid w:val="00086197"/>
    <w:rsid w:val="0008686F"/>
    <w:rsid w:val="00086BE5"/>
    <w:rsid w:val="00086C22"/>
    <w:rsid w:val="00086E50"/>
    <w:rsid w:val="000903E9"/>
    <w:rsid w:val="00090639"/>
    <w:rsid w:val="000906BC"/>
    <w:rsid w:val="00090F36"/>
    <w:rsid w:val="0009137F"/>
    <w:rsid w:val="000918B0"/>
    <w:rsid w:val="00092294"/>
    <w:rsid w:val="00093B84"/>
    <w:rsid w:val="0009610A"/>
    <w:rsid w:val="000A00CE"/>
    <w:rsid w:val="000A300E"/>
    <w:rsid w:val="000A522B"/>
    <w:rsid w:val="000A55D4"/>
    <w:rsid w:val="000A63AA"/>
    <w:rsid w:val="000A7526"/>
    <w:rsid w:val="000A786E"/>
    <w:rsid w:val="000A7C30"/>
    <w:rsid w:val="000B1F95"/>
    <w:rsid w:val="000B664C"/>
    <w:rsid w:val="000B73A9"/>
    <w:rsid w:val="000B7C10"/>
    <w:rsid w:val="000C0B90"/>
    <w:rsid w:val="000C0F85"/>
    <w:rsid w:val="000C12F5"/>
    <w:rsid w:val="000C44DC"/>
    <w:rsid w:val="000D0489"/>
    <w:rsid w:val="000D1E10"/>
    <w:rsid w:val="000D3243"/>
    <w:rsid w:val="000D3967"/>
    <w:rsid w:val="000E0699"/>
    <w:rsid w:val="000E0CDA"/>
    <w:rsid w:val="000E1F45"/>
    <w:rsid w:val="000E26F9"/>
    <w:rsid w:val="000E3D0C"/>
    <w:rsid w:val="000E4A4F"/>
    <w:rsid w:val="000E6678"/>
    <w:rsid w:val="000E744B"/>
    <w:rsid w:val="000E7B2A"/>
    <w:rsid w:val="000E7F13"/>
    <w:rsid w:val="000E7F30"/>
    <w:rsid w:val="000F24D5"/>
    <w:rsid w:val="000F4ECF"/>
    <w:rsid w:val="000F54D4"/>
    <w:rsid w:val="000F6B77"/>
    <w:rsid w:val="000F7C33"/>
    <w:rsid w:val="00100B8F"/>
    <w:rsid w:val="00101A52"/>
    <w:rsid w:val="00103AC1"/>
    <w:rsid w:val="001044B1"/>
    <w:rsid w:val="00106688"/>
    <w:rsid w:val="00107FAA"/>
    <w:rsid w:val="00111366"/>
    <w:rsid w:val="001119D6"/>
    <w:rsid w:val="00111FA7"/>
    <w:rsid w:val="0011269D"/>
    <w:rsid w:val="00112BA8"/>
    <w:rsid w:val="00113BF1"/>
    <w:rsid w:val="0011766D"/>
    <w:rsid w:val="00117B7D"/>
    <w:rsid w:val="00120F8B"/>
    <w:rsid w:val="001226EF"/>
    <w:rsid w:val="00123AEB"/>
    <w:rsid w:val="001253A0"/>
    <w:rsid w:val="00127631"/>
    <w:rsid w:val="00127F26"/>
    <w:rsid w:val="00130866"/>
    <w:rsid w:val="00130B44"/>
    <w:rsid w:val="00132E3F"/>
    <w:rsid w:val="00132F97"/>
    <w:rsid w:val="00135129"/>
    <w:rsid w:val="001375FF"/>
    <w:rsid w:val="00146C88"/>
    <w:rsid w:val="001479D2"/>
    <w:rsid w:val="00147E83"/>
    <w:rsid w:val="0015083B"/>
    <w:rsid w:val="00152140"/>
    <w:rsid w:val="00152462"/>
    <w:rsid w:val="001527A8"/>
    <w:rsid w:val="00152B0A"/>
    <w:rsid w:val="00155B8B"/>
    <w:rsid w:val="00157ACE"/>
    <w:rsid w:val="00164BFF"/>
    <w:rsid w:val="00165FD1"/>
    <w:rsid w:val="0016666F"/>
    <w:rsid w:val="001672C6"/>
    <w:rsid w:val="001703E0"/>
    <w:rsid w:val="00171A6D"/>
    <w:rsid w:val="001724F2"/>
    <w:rsid w:val="00173121"/>
    <w:rsid w:val="00175CE4"/>
    <w:rsid w:val="00175E84"/>
    <w:rsid w:val="001778EC"/>
    <w:rsid w:val="001846AA"/>
    <w:rsid w:val="001865E5"/>
    <w:rsid w:val="00190547"/>
    <w:rsid w:val="001906E2"/>
    <w:rsid w:val="00190E56"/>
    <w:rsid w:val="00191AF0"/>
    <w:rsid w:val="0019350B"/>
    <w:rsid w:val="00193B2B"/>
    <w:rsid w:val="001957A0"/>
    <w:rsid w:val="001975AE"/>
    <w:rsid w:val="001A0BF8"/>
    <w:rsid w:val="001A389D"/>
    <w:rsid w:val="001A3A01"/>
    <w:rsid w:val="001A5D7F"/>
    <w:rsid w:val="001B1852"/>
    <w:rsid w:val="001B1FC2"/>
    <w:rsid w:val="001B54D7"/>
    <w:rsid w:val="001B6DEF"/>
    <w:rsid w:val="001B7505"/>
    <w:rsid w:val="001B7734"/>
    <w:rsid w:val="001C2F7C"/>
    <w:rsid w:val="001C367D"/>
    <w:rsid w:val="001C4F13"/>
    <w:rsid w:val="001C553F"/>
    <w:rsid w:val="001C6F84"/>
    <w:rsid w:val="001D10F8"/>
    <w:rsid w:val="001D13D2"/>
    <w:rsid w:val="001D1596"/>
    <w:rsid w:val="001D251B"/>
    <w:rsid w:val="001D2EA2"/>
    <w:rsid w:val="001D3A66"/>
    <w:rsid w:val="001D582A"/>
    <w:rsid w:val="001D7769"/>
    <w:rsid w:val="001E2D7B"/>
    <w:rsid w:val="001E3291"/>
    <w:rsid w:val="001E55D6"/>
    <w:rsid w:val="001F13C0"/>
    <w:rsid w:val="001F456A"/>
    <w:rsid w:val="001F5487"/>
    <w:rsid w:val="001F73A6"/>
    <w:rsid w:val="00201994"/>
    <w:rsid w:val="00205F26"/>
    <w:rsid w:val="00206E23"/>
    <w:rsid w:val="0020796B"/>
    <w:rsid w:val="002123EB"/>
    <w:rsid w:val="0021299E"/>
    <w:rsid w:val="00212B41"/>
    <w:rsid w:val="0021448E"/>
    <w:rsid w:val="0021768C"/>
    <w:rsid w:val="0022061B"/>
    <w:rsid w:val="00221A11"/>
    <w:rsid w:val="00221CF1"/>
    <w:rsid w:val="00227A95"/>
    <w:rsid w:val="00234828"/>
    <w:rsid w:val="00241A29"/>
    <w:rsid w:val="00242461"/>
    <w:rsid w:val="00243207"/>
    <w:rsid w:val="00245223"/>
    <w:rsid w:val="00246588"/>
    <w:rsid w:val="00246776"/>
    <w:rsid w:val="002468ED"/>
    <w:rsid w:val="00247BED"/>
    <w:rsid w:val="00247C26"/>
    <w:rsid w:val="00252624"/>
    <w:rsid w:val="00255A49"/>
    <w:rsid w:val="002560BD"/>
    <w:rsid w:val="0026171B"/>
    <w:rsid w:val="0026471E"/>
    <w:rsid w:val="0026667C"/>
    <w:rsid w:val="0026676B"/>
    <w:rsid w:val="0026676D"/>
    <w:rsid w:val="00267004"/>
    <w:rsid w:val="002716FA"/>
    <w:rsid w:val="00271CED"/>
    <w:rsid w:val="00277058"/>
    <w:rsid w:val="002807B7"/>
    <w:rsid w:val="002821FA"/>
    <w:rsid w:val="002824F9"/>
    <w:rsid w:val="0028721C"/>
    <w:rsid w:val="0028781D"/>
    <w:rsid w:val="00291EC9"/>
    <w:rsid w:val="00292FFE"/>
    <w:rsid w:val="002938E3"/>
    <w:rsid w:val="00293B91"/>
    <w:rsid w:val="002941FC"/>
    <w:rsid w:val="00294C94"/>
    <w:rsid w:val="0029651E"/>
    <w:rsid w:val="002A1F72"/>
    <w:rsid w:val="002A3893"/>
    <w:rsid w:val="002A40F5"/>
    <w:rsid w:val="002A527E"/>
    <w:rsid w:val="002A710F"/>
    <w:rsid w:val="002A7BBD"/>
    <w:rsid w:val="002B2850"/>
    <w:rsid w:val="002B50F6"/>
    <w:rsid w:val="002C2A97"/>
    <w:rsid w:val="002C2BC7"/>
    <w:rsid w:val="002C408B"/>
    <w:rsid w:val="002C5283"/>
    <w:rsid w:val="002C5F25"/>
    <w:rsid w:val="002C7F1C"/>
    <w:rsid w:val="002D018B"/>
    <w:rsid w:val="002D0D54"/>
    <w:rsid w:val="002D2BB6"/>
    <w:rsid w:val="002D4E22"/>
    <w:rsid w:val="002D4F40"/>
    <w:rsid w:val="002D4FEA"/>
    <w:rsid w:val="002D62FF"/>
    <w:rsid w:val="002E0F51"/>
    <w:rsid w:val="002E5ED1"/>
    <w:rsid w:val="002F07A4"/>
    <w:rsid w:val="002F0D83"/>
    <w:rsid w:val="002F2AF0"/>
    <w:rsid w:val="002F3D5F"/>
    <w:rsid w:val="002F7253"/>
    <w:rsid w:val="003014C4"/>
    <w:rsid w:val="00301A47"/>
    <w:rsid w:val="00303884"/>
    <w:rsid w:val="00303987"/>
    <w:rsid w:val="00305036"/>
    <w:rsid w:val="0030649E"/>
    <w:rsid w:val="003102CF"/>
    <w:rsid w:val="003126A2"/>
    <w:rsid w:val="003133FC"/>
    <w:rsid w:val="00313A37"/>
    <w:rsid w:val="00320ABB"/>
    <w:rsid w:val="00321946"/>
    <w:rsid w:val="003222F2"/>
    <w:rsid w:val="00322D25"/>
    <w:rsid w:val="003248CC"/>
    <w:rsid w:val="0032514E"/>
    <w:rsid w:val="00326428"/>
    <w:rsid w:val="003268B0"/>
    <w:rsid w:val="00327A75"/>
    <w:rsid w:val="0033269F"/>
    <w:rsid w:val="00334B56"/>
    <w:rsid w:val="00334E22"/>
    <w:rsid w:val="0033515F"/>
    <w:rsid w:val="00336E27"/>
    <w:rsid w:val="0033722F"/>
    <w:rsid w:val="00337469"/>
    <w:rsid w:val="003406F1"/>
    <w:rsid w:val="003412D8"/>
    <w:rsid w:val="00342980"/>
    <w:rsid w:val="00342B31"/>
    <w:rsid w:val="00342E02"/>
    <w:rsid w:val="00344BA8"/>
    <w:rsid w:val="00345AFE"/>
    <w:rsid w:val="0034719B"/>
    <w:rsid w:val="003473DF"/>
    <w:rsid w:val="00347A70"/>
    <w:rsid w:val="00355502"/>
    <w:rsid w:val="00357ABC"/>
    <w:rsid w:val="0036069A"/>
    <w:rsid w:val="003608DC"/>
    <w:rsid w:val="00360ED9"/>
    <w:rsid w:val="003613E2"/>
    <w:rsid w:val="0036180A"/>
    <w:rsid w:val="00361833"/>
    <w:rsid w:val="00361921"/>
    <w:rsid w:val="0036400B"/>
    <w:rsid w:val="003645E8"/>
    <w:rsid w:val="00370A08"/>
    <w:rsid w:val="00371821"/>
    <w:rsid w:val="00372248"/>
    <w:rsid w:val="00373DD2"/>
    <w:rsid w:val="00376431"/>
    <w:rsid w:val="0038289F"/>
    <w:rsid w:val="0038373F"/>
    <w:rsid w:val="0038459D"/>
    <w:rsid w:val="003851B0"/>
    <w:rsid w:val="003853EF"/>
    <w:rsid w:val="00390531"/>
    <w:rsid w:val="00390707"/>
    <w:rsid w:val="00390BEB"/>
    <w:rsid w:val="00390ECB"/>
    <w:rsid w:val="003A20A1"/>
    <w:rsid w:val="003A2470"/>
    <w:rsid w:val="003A3E6A"/>
    <w:rsid w:val="003A6171"/>
    <w:rsid w:val="003A6818"/>
    <w:rsid w:val="003A6A28"/>
    <w:rsid w:val="003A6B72"/>
    <w:rsid w:val="003B0381"/>
    <w:rsid w:val="003B04FE"/>
    <w:rsid w:val="003B7DAB"/>
    <w:rsid w:val="003C1970"/>
    <w:rsid w:val="003C343E"/>
    <w:rsid w:val="003C4B89"/>
    <w:rsid w:val="003C6783"/>
    <w:rsid w:val="003C7AAE"/>
    <w:rsid w:val="003C7EAD"/>
    <w:rsid w:val="003D0D8C"/>
    <w:rsid w:val="003D379D"/>
    <w:rsid w:val="003D403A"/>
    <w:rsid w:val="003D4982"/>
    <w:rsid w:val="003D4ECE"/>
    <w:rsid w:val="003D5AD1"/>
    <w:rsid w:val="003D6981"/>
    <w:rsid w:val="003D69AF"/>
    <w:rsid w:val="003E0EC8"/>
    <w:rsid w:val="003E1BAF"/>
    <w:rsid w:val="003E2B6A"/>
    <w:rsid w:val="003E5F15"/>
    <w:rsid w:val="003E61CC"/>
    <w:rsid w:val="003F0214"/>
    <w:rsid w:val="003F055C"/>
    <w:rsid w:val="003F2F07"/>
    <w:rsid w:val="003F56B8"/>
    <w:rsid w:val="003F5ED5"/>
    <w:rsid w:val="003F6226"/>
    <w:rsid w:val="00401FFE"/>
    <w:rsid w:val="00402924"/>
    <w:rsid w:val="00402D64"/>
    <w:rsid w:val="0040695D"/>
    <w:rsid w:val="0040743A"/>
    <w:rsid w:val="004100F6"/>
    <w:rsid w:val="0041200D"/>
    <w:rsid w:val="00413DE3"/>
    <w:rsid w:val="00413F46"/>
    <w:rsid w:val="004145DD"/>
    <w:rsid w:val="004148A3"/>
    <w:rsid w:val="00416FE7"/>
    <w:rsid w:val="00417304"/>
    <w:rsid w:val="004204C3"/>
    <w:rsid w:val="00423815"/>
    <w:rsid w:val="00426AFB"/>
    <w:rsid w:val="004273D7"/>
    <w:rsid w:val="0042752A"/>
    <w:rsid w:val="004309C5"/>
    <w:rsid w:val="004310C2"/>
    <w:rsid w:val="00431EF6"/>
    <w:rsid w:val="0043299F"/>
    <w:rsid w:val="00434677"/>
    <w:rsid w:val="00434713"/>
    <w:rsid w:val="00434794"/>
    <w:rsid w:val="00434E5E"/>
    <w:rsid w:val="00436507"/>
    <w:rsid w:val="00436F6E"/>
    <w:rsid w:val="00437146"/>
    <w:rsid w:val="00437592"/>
    <w:rsid w:val="0044190B"/>
    <w:rsid w:val="004447DE"/>
    <w:rsid w:val="0044520A"/>
    <w:rsid w:val="004457A3"/>
    <w:rsid w:val="00446CDA"/>
    <w:rsid w:val="0044786E"/>
    <w:rsid w:val="00447BD2"/>
    <w:rsid w:val="00450C71"/>
    <w:rsid w:val="004512A1"/>
    <w:rsid w:val="00452BB3"/>
    <w:rsid w:val="00453347"/>
    <w:rsid w:val="00454630"/>
    <w:rsid w:val="00454986"/>
    <w:rsid w:val="00456327"/>
    <w:rsid w:val="004563BD"/>
    <w:rsid w:val="00460081"/>
    <w:rsid w:val="0046208F"/>
    <w:rsid w:val="00462D96"/>
    <w:rsid w:val="00463516"/>
    <w:rsid w:val="00465CF3"/>
    <w:rsid w:val="004663E1"/>
    <w:rsid w:val="0046663B"/>
    <w:rsid w:val="00466CEC"/>
    <w:rsid w:val="004670FC"/>
    <w:rsid w:val="00480CE6"/>
    <w:rsid w:val="00481C40"/>
    <w:rsid w:val="004825CC"/>
    <w:rsid w:val="004838EE"/>
    <w:rsid w:val="00486860"/>
    <w:rsid w:val="004872A7"/>
    <w:rsid w:val="00494864"/>
    <w:rsid w:val="00495AA1"/>
    <w:rsid w:val="0049615F"/>
    <w:rsid w:val="00497C97"/>
    <w:rsid w:val="004A72DD"/>
    <w:rsid w:val="004B2825"/>
    <w:rsid w:val="004B34CC"/>
    <w:rsid w:val="004B3A1B"/>
    <w:rsid w:val="004B3CD9"/>
    <w:rsid w:val="004B4138"/>
    <w:rsid w:val="004B524E"/>
    <w:rsid w:val="004B5C33"/>
    <w:rsid w:val="004B5E3E"/>
    <w:rsid w:val="004B770E"/>
    <w:rsid w:val="004C0092"/>
    <w:rsid w:val="004C0FA7"/>
    <w:rsid w:val="004C122F"/>
    <w:rsid w:val="004C2733"/>
    <w:rsid w:val="004C4CCC"/>
    <w:rsid w:val="004C7C76"/>
    <w:rsid w:val="004D019B"/>
    <w:rsid w:val="004D2376"/>
    <w:rsid w:val="004D2F53"/>
    <w:rsid w:val="004D5DCA"/>
    <w:rsid w:val="004D6049"/>
    <w:rsid w:val="004E0CFA"/>
    <w:rsid w:val="004E228B"/>
    <w:rsid w:val="004E4C7C"/>
    <w:rsid w:val="004E4FA5"/>
    <w:rsid w:val="004E5D12"/>
    <w:rsid w:val="004F069A"/>
    <w:rsid w:val="004F12DF"/>
    <w:rsid w:val="004F1D8B"/>
    <w:rsid w:val="004F224F"/>
    <w:rsid w:val="004F309E"/>
    <w:rsid w:val="004F3827"/>
    <w:rsid w:val="004F666B"/>
    <w:rsid w:val="004F749B"/>
    <w:rsid w:val="004F75FC"/>
    <w:rsid w:val="004F7D67"/>
    <w:rsid w:val="0050185B"/>
    <w:rsid w:val="005022BF"/>
    <w:rsid w:val="0050279A"/>
    <w:rsid w:val="00503311"/>
    <w:rsid w:val="005033EC"/>
    <w:rsid w:val="005034B0"/>
    <w:rsid w:val="005047BC"/>
    <w:rsid w:val="00504BFA"/>
    <w:rsid w:val="00510B95"/>
    <w:rsid w:val="005112B6"/>
    <w:rsid w:val="00514092"/>
    <w:rsid w:val="0051789D"/>
    <w:rsid w:val="00517CCB"/>
    <w:rsid w:val="005208DF"/>
    <w:rsid w:val="00520FEC"/>
    <w:rsid w:val="005216C4"/>
    <w:rsid w:val="005236F3"/>
    <w:rsid w:val="00525175"/>
    <w:rsid w:val="005262DD"/>
    <w:rsid w:val="00530645"/>
    <w:rsid w:val="00531441"/>
    <w:rsid w:val="005333EA"/>
    <w:rsid w:val="0053662E"/>
    <w:rsid w:val="00544479"/>
    <w:rsid w:val="00544BC1"/>
    <w:rsid w:val="00545FFD"/>
    <w:rsid w:val="005462E3"/>
    <w:rsid w:val="0054639C"/>
    <w:rsid w:val="0054678D"/>
    <w:rsid w:val="00546BEE"/>
    <w:rsid w:val="005505DD"/>
    <w:rsid w:val="00550C06"/>
    <w:rsid w:val="00551254"/>
    <w:rsid w:val="00551389"/>
    <w:rsid w:val="00552E55"/>
    <w:rsid w:val="005564BB"/>
    <w:rsid w:val="005564C7"/>
    <w:rsid w:val="00560A65"/>
    <w:rsid w:val="00560FFD"/>
    <w:rsid w:val="00564F66"/>
    <w:rsid w:val="005651D4"/>
    <w:rsid w:val="005719FF"/>
    <w:rsid w:val="0057272D"/>
    <w:rsid w:val="00573086"/>
    <w:rsid w:val="0057320F"/>
    <w:rsid w:val="0057634C"/>
    <w:rsid w:val="00576CB2"/>
    <w:rsid w:val="00576F94"/>
    <w:rsid w:val="00577912"/>
    <w:rsid w:val="00584515"/>
    <w:rsid w:val="00586845"/>
    <w:rsid w:val="0058717B"/>
    <w:rsid w:val="00587678"/>
    <w:rsid w:val="00587E52"/>
    <w:rsid w:val="00587E58"/>
    <w:rsid w:val="0059027C"/>
    <w:rsid w:val="00590358"/>
    <w:rsid w:val="00591D86"/>
    <w:rsid w:val="00592259"/>
    <w:rsid w:val="00593924"/>
    <w:rsid w:val="00595656"/>
    <w:rsid w:val="005A00C0"/>
    <w:rsid w:val="005A162C"/>
    <w:rsid w:val="005A1F1F"/>
    <w:rsid w:val="005A5038"/>
    <w:rsid w:val="005A6578"/>
    <w:rsid w:val="005A6D41"/>
    <w:rsid w:val="005A7056"/>
    <w:rsid w:val="005A7D85"/>
    <w:rsid w:val="005A7FAB"/>
    <w:rsid w:val="005B011C"/>
    <w:rsid w:val="005B0186"/>
    <w:rsid w:val="005B1A84"/>
    <w:rsid w:val="005B7635"/>
    <w:rsid w:val="005C0CF2"/>
    <w:rsid w:val="005C2B41"/>
    <w:rsid w:val="005C3CBB"/>
    <w:rsid w:val="005C63FE"/>
    <w:rsid w:val="005C67C0"/>
    <w:rsid w:val="005D233A"/>
    <w:rsid w:val="005D3F2D"/>
    <w:rsid w:val="005D52CC"/>
    <w:rsid w:val="005D6158"/>
    <w:rsid w:val="005D6B7D"/>
    <w:rsid w:val="005D7AB5"/>
    <w:rsid w:val="005D7D11"/>
    <w:rsid w:val="005E1E6B"/>
    <w:rsid w:val="005E562F"/>
    <w:rsid w:val="005F0DFA"/>
    <w:rsid w:val="005F1B69"/>
    <w:rsid w:val="005F2F8B"/>
    <w:rsid w:val="005F53B5"/>
    <w:rsid w:val="005F55AE"/>
    <w:rsid w:val="005F5ACA"/>
    <w:rsid w:val="005F5FDD"/>
    <w:rsid w:val="005F6382"/>
    <w:rsid w:val="005F6DC1"/>
    <w:rsid w:val="005F76F7"/>
    <w:rsid w:val="005F7C40"/>
    <w:rsid w:val="006020F2"/>
    <w:rsid w:val="0061073B"/>
    <w:rsid w:val="006111C9"/>
    <w:rsid w:val="0061204E"/>
    <w:rsid w:val="006156C5"/>
    <w:rsid w:val="0062244D"/>
    <w:rsid w:val="0062568B"/>
    <w:rsid w:val="00627991"/>
    <w:rsid w:val="0063484F"/>
    <w:rsid w:val="00635800"/>
    <w:rsid w:val="006368BE"/>
    <w:rsid w:val="00637F43"/>
    <w:rsid w:val="006405D6"/>
    <w:rsid w:val="0064233E"/>
    <w:rsid w:val="00643003"/>
    <w:rsid w:val="00643385"/>
    <w:rsid w:val="00643671"/>
    <w:rsid w:val="00643D8F"/>
    <w:rsid w:val="00644A2F"/>
    <w:rsid w:val="00646372"/>
    <w:rsid w:val="006465E1"/>
    <w:rsid w:val="00646679"/>
    <w:rsid w:val="006466E7"/>
    <w:rsid w:val="00650E6D"/>
    <w:rsid w:val="00651676"/>
    <w:rsid w:val="00652F36"/>
    <w:rsid w:val="00655C92"/>
    <w:rsid w:val="00655F10"/>
    <w:rsid w:val="006560E0"/>
    <w:rsid w:val="00660834"/>
    <w:rsid w:val="00665D66"/>
    <w:rsid w:val="00665DCC"/>
    <w:rsid w:val="00673090"/>
    <w:rsid w:val="00674296"/>
    <w:rsid w:val="0067468D"/>
    <w:rsid w:val="006763D5"/>
    <w:rsid w:val="00676849"/>
    <w:rsid w:val="00676D56"/>
    <w:rsid w:val="00677358"/>
    <w:rsid w:val="00681B5B"/>
    <w:rsid w:val="00682DF1"/>
    <w:rsid w:val="0068351E"/>
    <w:rsid w:val="00685EAE"/>
    <w:rsid w:val="006872B1"/>
    <w:rsid w:val="00687DD6"/>
    <w:rsid w:val="00687FBC"/>
    <w:rsid w:val="00691C22"/>
    <w:rsid w:val="00691EF0"/>
    <w:rsid w:val="00694673"/>
    <w:rsid w:val="006955BC"/>
    <w:rsid w:val="0069605B"/>
    <w:rsid w:val="0069642D"/>
    <w:rsid w:val="00697F7B"/>
    <w:rsid w:val="006A01CD"/>
    <w:rsid w:val="006A0D70"/>
    <w:rsid w:val="006A1D4D"/>
    <w:rsid w:val="006A5409"/>
    <w:rsid w:val="006A5473"/>
    <w:rsid w:val="006A6844"/>
    <w:rsid w:val="006B037A"/>
    <w:rsid w:val="006B0BBA"/>
    <w:rsid w:val="006B1CAB"/>
    <w:rsid w:val="006B34F4"/>
    <w:rsid w:val="006B4AD9"/>
    <w:rsid w:val="006B719D"/>
    <w:rsid w:val="006B792C"/>
    <w:rsid w:val="006B7BB1"/>
    <w:rsid w:val="006C08BA"/>
    <w:rsid w:val="006C1920"/>
    <w:rsid w:val="006C1A27"/>
    <w:rsid w:val="006C2AB6"/>
    <w:rsid w:val="006C341D"/>
    <w:rsid w:val="006C3D09"/>
    <w:rsid w:val="006C43DB"/>
    <w:rsid w:val="006C4DA7"/>
    <w:rsid w:val="006C5A46"/>
    <w:rsid w:val="006D160E"/>
    <w:rsid w:val="006D3185"/>
    <w:rsid w:val="006D3803"/>
    <w:rsid w:val="006D3816"/>
    <w:rsid w:val="006D46E1"/>
    <w:rsid w:val="006D4B02"/>
    <w:rsid w:val="006D4B93"/>
    <w:rsid w:val="006D6851"/>
    <w:rsid w:val="006D7206"/>
    <w:rsid w:val="006E0531"/>
    <w:rsid w:val="006E1006"/>
    <w:rsid w:val="006E3D23"/>
    <w:rsid w:val="006E560E"/>
    <w:rsid w:val="006E7A11"/>
    <w:rsid w:val="006E7C98"/>
    <w:rsid w:val="006F01CC"/>
    <w:rsid w:val="006F1458"/>
    <w:rsid w:val="006F1BAC"/>
    <w:rsid w:val="006F2151"/>
    <w:rsid w:val="006F2FF7"/>
    <w:rsid w:val="006F35C1"/>
    <w:rsid w:val="006F3B62"/>
    <w:rsid w:val="006F5136"/>
    <w:rsid w:val="006F55A7"/>
    <w:rsid w:val="006F58CB"/>
    <w:rsid w:val="006F6A0D"/>
    <w:rsid w:val="006F6F24"/>
    <w:rsid w:val="006F7A2E"/>
    <w:rsid w:val="007036D6"/>
    <w:rsid w:val="007045EF"/>
    <w:rsid w:val="007058F6"/>
    <w:rsid w:val="00705EEE"/>
    <w:rsid w:val="0070648E"/>
    <w:rsid w:val="00713B15"/>
    <w:rsid w:val="007140DB"/>
    <w:rsid w:val="007162E1"/>
    <w:rsid w:val="00716636"/>
    <w:rsid w:val="00716E58"/>
    <w:rsid w:val="00720C33"/>
    <w:rsid w:val="00722325"/>
    <w:rsid w:val="007247AC"/>
    <w:rsid w:val="00724BBD"/>
    <w:rsid w:val="007273E4"/>
    <w:rsid w:val="0073060A"/>
    <w:rsid w:val="00732142"/>
    <w:rsid w:val="007327D1"/>
    <w:rsid w:val="00735FAD"/>
    <w:rsid w:val="00736238"/>
    <w:rsid w:val="00737DB7"/>
    <w:rsid w:val="0074039E"/>
    <w:rsid w:val="007406A2"/>
    <w:rsid w:val="00741E36"/>
    <w:rsid w:val="007420B1"/>
    <w:rsid w:val="0074375C"/>
    <w:rsid w:val="00744DD2"/>
    <w:rsid w:val="0074501E"/>
    <w:rsid w:val="007468CF"/>
    <w:rsid w:val="00750E78"/>
    <w:rsid w:val="007518F3"/>
    <w:rsid w:val="00751B3A"/>
    <w:rsid w:val="00753E61"/>
    <w:rsid w:val="0075487E"/>
    <w:rsid w:val="00756F87"/>
    <w:rsid w:val="0075729F"/>
    <w:rsid w:val="0076102D"/>
    <w:rsid w:val="0076211F"/>
    <w:rsid w:val="007648E1"/>
    <w:rsid w:val="0076567F"/>
    <w:rsid w:val="007665A6"/>
    <w:rsid w:val="00770136"/>
    <w:rsid w:val="00770E56"/>
    <w:rsid w:val="00772D34"/>
    <w:rsid w:val="00774720"/>
    <w:rsid w:val="007749C5"/>
    <w:rsid w:val="007753F5"/>
    <w:rsid w:val="00776CEE"/>
    <w:rsid w:val="00777995"/>
    <w:rsid w:val="00780263"/>
    <w:rsid w:val="00781CBF"/>
    <w:rsid w:val="00782288"/>
    <w:rsid w:val="00783CA7"/>
    <w:rsid w:val="0078400F"/>
    <w:rsid w:val="00784B85"/>
    <w:rsid w:val="00784CAC"/>
    <w:rsid w:val="00785CEC"/>
    <w:rsid w:val="00786F48"/>
    <w:rsid w:val="007905CE"/>
    <w:rsid w:val="00795C2B"/>
    <w:rsid w:val="00797936"/>
    <w:rsid w:val="00797A53"/>
    <w:rsid w:val="00797B54"/>
    <w:rsid w:val="00797DD7"/>
    <w:rsid w:val="007A31D8"/>
    <w:rsid w:val="007A3A11"/>
    <w:rsid w:val="007A4CD7"/>
    <w:rsid w:val="007A5348"/>
    <w:rsid w:val="007A6A7B"/>
    <w:rsid w:val="007A75AE"/>
    <w:rsid w:val="007B05B1"/>
    <w:rsid w:val="007B09D0"/>
    <w:rsid w:val="007B0DED"/>
    <w:rsid w:val="007B102B"/>
    <w:rsid w:val="007B4338"/>
    <w:rsid w:val="007B68A4"/>
    <w:rsid w:val="007B6A7D"/>
    <w:rsid w:val="007B6C79"/>
    <w:rsid w:val="007C13B9"/>
    <w:rsid w:val="007C19FC"/>
    <w:rsid w:val="007C26A5"/>
    <w:rsid w:val="007C73D1"/>
    <w:rsid w:val="007C74E4"/>
    <w:rsid w:val="007D612A"/>
    <w:rsid w:val="007D6DBF"/>
    <w:rsid w:val="007E01C6"/>
    <w:rsid w:val="007E190F"/>
    <w:rsid w:val="007E1F99"/>
    <w:rsid w:val="007E1FCB"/>
    <w:rsid w:val="007E26E3"/>
    <w:rsid w:val="007E6724"/>
    <w:rsid w:val="007E7C87"/>
    <w:rsid w:val="007F0139"/>
    <w:rsid w:val="007F0989"/>
    <w:rsid w:val="007F4A00"/>
    <w:rsid w:val="007F5247"/>
    <w:rsid w:val="007F5847"/>
    <w:rsid w:val="007F5981"/>
    <w:rsid w:val="00803EA4"/>
    <w:rsid w:val="00807AC4"/>
    <w:rsid w:val="00810AF9"/>
    <w:rsid w:val="0081289B"/>
    <w:rsid w:val="00813DB7"/>
    <w:rsid w:val="00815C6B"/>
    <w:rsid w:val="00820889"/>
    <w:rsid w:val="00825BFA"/>
    <w:rsid w:val="00826A90"/>
    <w:rsid w:val="00831A3A"/>
    <w:rsid w:val="00832345"/>
    <w:rsid w:val="0083591B"/>
    <w:rsid w:val="00835AA9"/>
    <w:rsid w:val="0083654A"/>
    <w:rsid w:val="008429AA"/>
    <w:rsid w:val="00843B2A"/>
    <w:rsid w:val="00844885"/>
    <w:rsid w:val="00845504"/>
    <w:rsid w:val="008457F3"/>
    <w:rsid w:val="00847C0A"/>
    <w:rsid w:val="00851E7A"/>
    <w:rsid w:val="00852556"/>
    <w:rsid w:val="0085291A"/>
    <w:rsid w:val="00853129"/>
    <w:rsid w:val="008532B8"/>
    <w:rsid w:val="008540B0"/>
    <w:rsid w:val="008547E6"/>
    <w:rsid w:val="00860B90"/>
    <w:rsid w:val="00861D1A"/>
    <w:rsid w:val="00863BE7"/>
    <w:rsid w:val="00863E7E"/>
    <w:rsid w:val="0086649B"/>
    <w:rsid w:val="00866E61"/>
    <w:rsid w:val="00870AD0"/>
    <w:rsid w:val="008724F5"/>
    <w:rsid w:val="008725E0"/>
    <w:rsid w:val="00872627"/>
    <w:rsid w:val="00874333"/>
    <w:rsid w:val="008758F3"/>
    <w:rsid w:val="0087651F"/>
    <w:rsid w:val="008773F6"/>
    <w:rsid w:val="0088225D"/>
    <w:rsid w:val="00884F2B"/>
    <w:rsid w:val="00885D78"/>
    <w:rsid w:val="00886AAB"/>
    <w:rsid w:val="008872C6"/>
    <w:rsid w:val="00887B9E"/>
    <w:rsid w:val="0089008F"/>
    <w:rsid w:val="00894606"/>
    <w:rsid w:val="00895D14"/>
    <w:rsid w:val="008A0CDD"/>
    <w:rsid w:val="008A6E25"/>
    <w:rsid w:val="008A72B3"/>
    <w:rsid w:val="008B0B06"/>
    <w:rsid w:val="008B0E12"/>
    <w:rsid w:val="008B44B8"/>
    <w:rsid w:val="008B54D9"/>
    <w:rsid w:val="008B64B1"/>
    <w:rsid w:val="008C0D7D"/>
    <w:rsid w:val="008C1EAB"/>
    <w:rsid w:val="008C21C3"/>
    <w:rsid w:val="008C28AE"/>
    <w:rsid w:val="008C2A8D"/>
    <w:rsid w:val="008C4729"/>
    <w:rsid w:val="008C4D8D"/>
    <w:rsid w:val="008C5309"/>
    <w:rsid w:val="008C6A0B"/>
    <w:rsid w:val="008C747A"/>
    <w:rsid w:val="008D0E78"/>
    <w:rsid w:val="008D3267"/>
    <w:rsid w:val="008D34EB"/>
    <w:rsid w:val="008D5920"/>
    <w:rsid w:val="008D6E1D"/>
    <w:rsid w:val="008D7D1F"/>
    <w:rsid w:val="008E057E"/>
    <w:rsid w:val="008E0F62"/>
    <w:rsid w:val="008E3E61"/>
    <w:rsid w:val="008E52AD"/>
    <w:rsid w:val="008E5E12"/>
    <w:rsid w:val="008E64F4"/>
    <w:rsid w:val="008E685C"/>
    <w:rsid w:val="008E7027"/>
    <w:rsid w:val="008F1785"/>
    <w:rsid w:val="008F5D16"/>
    <w:rsid w:val="008F68BA"/>
    <w:rsid w:val="008F70EB"/>
    <w:rsid w:val="008F7446"/>
    <w:rsid w:val="008F7ED2"/>
    <w:rsid w:val="00904274"/>
    <w:rsid w:val="0090490A"/>
    <w:rsid w:val="00906798"/>
    <w:rsid w:val="009105D9"/>
    <w:rsid w:val="009138D4"/>
    <w:rsid w:val="00914522"/>
    <w:rsid w:val="009165E2"/>
    <w:rsid w:val="00916EEC"/>
    <w:rsid w:val="00917A5F"/>
    <w:rsid w:val="00920AB7"/>
    <w:rsid w:val="0092182A"/>
    <w:rsid w:val="0092198C"/>
    <w:rsid w:val="00923899"/>
    <w:rsid w:val="009245D1"/>
    <w:rsid w:val="009274D0"/>
    <w:rsid w:val="009278EA"/>
    <w:rsid w:val="009340FD"/>
    <w:rsid w:val="009346AE"/>
    <w:rsid w:val="009452A5"/>
    <w:rsid w:val="009505C2"/>
    <w:rsid w:val="00952BDE"/>
    <w:rsid w:val="00953936"/>
    <w:rsid w:val="009560DA"/>
    <w:rsid w:val="00957DA2"/>
    <w:rsid w:val="0096073D"/>
    <w:rsid w:val="00962EB6"/>
    <w:rsid w:val="00965D64"/>
    <w:rsid w:val="00966130"/>
    <w:rsid w:val="0097156E"/>
    <w:rsid w:val="00971ED0"/>
    <w:rsid w:val="00975534"/>
    <w:rsid w:val="009766F2"/>
    <w:rsid w:val="00977A0A"/>
    <w:rsid w:val="00980B7E"/>
    <w:rsid w:val="009816EF"/>
    <w:rsid w:val="00983019"/>
    <w:rsid w:val="00984BBF"/>
    <w:rsid w:val="009852CE"/>
    <w:rsid w:val="0098623B"/>
    <w:rsid w:val="00986475"/>
    <w:rsid w:val="00987291"/>
    <w:rsid w:val="00990939"/>
    <w:rsid w:val="009921BC"/>
    <w:rsid w:val="00993BC8"/>
    <w:rsid w:val="00993C53"/>
    <w:rsid w:val="00997F26"/>
    <w:rsid w:val="009A013A"/>
    <w:rsid w:val="009A0C92"/>
    <w:rsid w:val="009A1416"/>
    <w:rsid w:val="009A2B59"/>
    <w:rsid w:val="009A33DE"/>
    <w:rsid w:val="009A3F36"/>
    <w:rsid w:val="009A4541"/>
    <w:rsid w:val="009A5A66"/>
    <w:rsid w:val="009A60E6"/>
    <w:rsid w:val="009A7184"/>
    <w:rsid w:val="009A726F"/>
    <w:rsid w:val="009B59C9"/>
    <w:rsid w:val="009B5B9F"/>
    <w:rsid w:val="009B63D7"/>
    <w:rsid w:val="009C2627"/>
    <w:rsid w:val="009C331B"/>
    <w:rsid w:val="009C548F"/>
    <w:rsid w:val="009C59CB"/>
    <w:rsid w:val="009C74ED"/>
    <w:rsid w:val="009D1D85"/>
    <w:rsid w:val="009D6198"/>
    <w:rsid w:val="009D7D54"/>
    <w:rsid w:val="009D7DC1"/>
    <w:rsid w:val="009E2EEF"/>
    <w:rsid w:val="009E482A"/>
    <w:rsid w:val="009E4A44"/>
    <w:rsid w:val="009E7A5B"/>
    <w:rsid w:val="009E7C03"/>
    <w:rsid w:val="009E7D32"/>
    <w:rsid w:val="009F156A"/>
    <w:rsid w:val="009F1D8D"/>
    <w:rsid w:val="009F2BBD"/>
    <w:rsid w:val="009F42B9"/>
    <w:rsid w:val="009F43A9"/>
    <w:rsid w:val="009F547E"/>
    <w:rsid w:val="009F59BA"/>
    <w:rsid w:val="009F645B"/>
    <w:rsid w:val="00A01E88"/>
    <w:rsid w:val="00A02FDF"/>
    <w:rsid w:val="00A0475E"/>
    <w:rsid w:val="00A04C19"/>
    <w:rsid w:val="00A04EF1"/>
    <w:rsid w:val="00A076F0"/>
    <w:rsid w:val="00A10B09"/>
    <w:rsid w:val="00A1102E"/>
    <w:rsid w:val="00A116CE"/>
    <w:rsid w:val="00A125B9"/>
    <w:rsid w:val="00A14D9B"/>
    <w:rsid w:val="00A17B6E"/>
    <w:rsid w:val="00A2021D"/>
    <w:rsid w:val="00A21C1F"/>
    <w:rsid w:val="00A25B76"/>
    <w:rsid w:val="00A273CC"/>
    <w:rsid w:val="00A27773"/>
    <w:rsid w:val="00A302F7"/>
    <w:rsid w:val="00A3085D"/>
    <w:rsid w:val="00A316CD"/>
    <w:rsid w:val="00A32F67"/>
    <w:rsid w:val="00A343C7"/>
    <w:rsid w:val="00A34699"/>
    <w:rsid w:val="00A36740"/>
    <w:rsid w:val="00A37BAA"/>
    <w:rsid w:val="00A40AFF"/>
    <w:rsid w:val="00A41493"/>
    <w:rsid w:val="00A418A1"/>
    <w:rsid w:val="00A43E92"/>
    <w:rsid w:val="00A44B78"/>
    <w:rsid w:val="00A47F6D"/>
    <w:rsid w:val="00A50AA3"/>
    <w:rsid w:val="00A51179"/>
    <w:rsid w:val="00A513B9"/>
    <w:rsid w:val="00A51F0F"/>
    <w:rsid w:val="00A54B63"/>
    <w:rsid w:val="00A54D12"/>
    <w:rsid w:val="00A563FE"/>
    <w:rsid w:val="00A627E3"/>
    <w:rsid w:val="00A6341B"/>
    <w:rsid w:val="00A6371C"/>
    <w:rsid w:val="00A64A01"/>
    <w:rsid w:val="00A65790"/>
    <w:rsid w:val="00A6676F"/>
    <w:rsid w:val="00A67D87"/>
    <w:rsid w:val="00A74656"/>
    <w:rsid w:val="00A75F24"/>
    <w:rsid w:val="00A76110"/>
    <w:rsid w:val="00A77637"/>
    <w:rsid w:val="00A77A44"/>
    <w:rsid w:val="00A83002"/>
    <w:rsid w:val="00A87338"/>
    <w:rsid w:val="00A91064"/>
    <w:rsid w:val="00A91810"/>
    <w:rsid w:val="00A91DFF"/>
    <w:rsid w:val="00A9322E"/>
    <w:rsid w:val="00A94E3C"/>
    <w:rsid w:val="00A96717"/>
    <w:rsid w:val="00AA0214"/>
    <w:rsid w:val="00AA0934"/>
    <w:rsid w:val="00AA1933"/>
    <w:rsid w:val="00AA21FF"/>
    <w:rsid w:val="00AA5092"/>
    <w:rsid w:val="00AA54E9"/>
    <w:rsid w:val="00AA64AF"/>
    <w:rsid w:val="00AA701C"/>
    <w:rsid w:val="00AA7200"/>
    <w:rsid w:val="00AB0EF4"/>
    <w:rsid w:val="00AB2923"/>
    <w:rsid w:val="00AB3021"/>
    <w:rsid w:val="00AB3843"/>
    <w:rsid w:val="00AB48E6"/>
    <w:rsid w:val="00AB51E9"/>
    <w:rsid w:val="00AB60F7"/>
    <w:rsid w:val="00AB72F6"/>
    <w:rsid w:val="00AB775B"/>
    <w:rsid w:val="00AC1C60"/>
    <w:rsid w:val="00AC25F3"/>
    <w:rsid w:val="00AC3238"/>
    <w:rsid w:val="00AC4984"/>
    <w:rsid w:val="00AC624D"/>
    <w:rsid w:val="00AD10E6"/>
    <w:rsid w:val="00AD23F3"/>
    <w:rsid w:val="00AD2B1A"/>
    <w:rsid w:val="00AD2E56"/>
    <w:rsid w:val="00AD3114"/>
    <w:rsid w:val="00AD39EA"/>
    <w:rsid w:val="00AD5E8F"/>
    <w:rsid w:val="00AD737A"/>
    <w:rsid w:val="00AE0BCD"/>
    <w:rsid w:val="00AE1304"/>
    <w:rsid w:val="00AE1706"/>
    <w:rsid w:val="00AE470B"/>
    <w:rsid w:val="00AE57B7"/>
    <w:rsid w:val="00AE6C44"/>
    <w:rsid w:val="00AF0062"/>
    <w:rsid w:val="00AF0778"/>
    <w:rsid w:val="00AF359F"/>
    <w:rsid w:val="00AF5F72"/>
    <w:rsid w:val="00AF6662"/>
    <w:rsid w:val="00B05D68"/>
    <w:rsid w:val="00B11E59"/>
    <w:rsid w:val="00B11EDA"/>
    <w:rsid w:val="00B12642"/>
    <w:rsid w:val="00B17299"/>
    <w:rsid w:val="00B2263E"/>
    <w:rsid w:val="00B233E5"/>
    <w:rsid w:val="00B23F03"/>
    <w:rsid w:val="00B241C4"/>
    <w:rsid w:val="00B31CB7"/>
    <w:rsid w:val="00B320C5"/>
    <w:rsid w:val="00B3234B"/>
    <w:rsid w:val="00B354F6"/>
    <w:rsid w:val="00B36708"/>
    <w:rsid w:val="00B37A9A"/>
    <w:rsid w:val="00B4039D"/>
    <w:rsid w:val="00B424B1"/>
    <w:rsid w:val="00B42963"/>
    <w:rsid w:val="00B43027"/>
    <w:rsid w:val="00B43A95"/>
    <w:rsid w:val="00B444E9"/>
    <w:rsid w:val="00B450A0"/>
    <w:rsid w:val="00B4549A"/>
    <w:rsid w:val="00B456F9"/>
    <w:rsid w:val="00B501F1"/>
    <w:rsid w:val="00B5038E"/>
    <w:rsid w:val="00B53CC8"/>
    <w:rsid w:val="00B53FD0"/>
    <w:rsid w:val="00B54071"/>
    <w:rsid w:val="00B56403"/>
    <w:rsid w:val="00B56821"/>
    <w:rsid w:val="00B577D1"/>
    <w:rsid w:val="00B60C57"/>
    <w:rsid w:val="00B61DEA"/>
    <w:rsid w:val="00B63C20"/>
    <w:rsid w:val="00B646FB"/>
    <w:rsid w:val="00B64F02"/>
    <w:rsid w:val="00B659E3"/>
    <w:rsid w:val="00B65F44"/>
    <w:rsid w:val="00B664D1"/>
    <w:rsid w:val="00B6770B"/>
    <w:rsid w:val="00B6780D"/>
    <w:rsid w:val="00B721FE"/>
    <w:rsid w:val="00B72251"/>
    <w:rsid w:val="00B727AA"/>
    <w:rsid w:val="00B7306B"/>
    <w:rsid w:val="00B731CB"/>
    <w:rsid w:val="00B74879"/>
    <w:rsid w:val="00B749D6"/>
    <w:rsid w:val="00B77296"/>
    <w:rsid w:val="00B8135D"/>
    <w:rsid w:val="00B82376"/>
    <w:rsid w:val="00B82E62"/>
    <w:rsid w:val="00B836D0"/>
    <w:rsid w:val="00B83DD5"/>
    <w:rsid w:val="00B868F1"/>
    <w:rsid w:val="00B900F8"/>
    <w:rsid w:val="00B910BE"/>
    <w:rsid w:val="00B932D5"/>
    <w:rsid w:val="00B954E2"/>
    <w:rsid w:val="00B96A2A"/>
    <w:rsid w:val="00B96CE7"/>
    <w:rsid w:val="00B973B2"/>
    <w:rsid w:val="00B97C2C"/>
    <w:rsid w:val="00BA1C2B"/>
    <w:rsid w:val="00BA670D"/>
    <w:rsid w:val="00BB2519"/>
    <w:rsid w:val="00BB4EE5"/>
    <w:rsid w:val="00BB588D"/>
    <w:rsid w:val="00BC0D75"/>
    <w:rsid w:val="00BC1986"/>
    <w:rsid w:val="00BC1AA0"/>
    <w:rsid w:val="00BC23AE"/>
    <w:rsid w:val="00BC23C9"/>
    <w:rsid w:val="00BC2BB9"/>
    <w:rsid w:val="00BC3E04"/>
    <w:rsid w:val="00BC6492"/>
    <w:rsid w:val="00BC6A79"/>
    <w:rsid w:val="00BD1D2E"/>
    <w:rsid w:val="00BD20DA"/>
    <w:rsid w:val="00BD583B"/>
    <w:rsid w:val="00BD5E23"/>
    <w:rsid w:val="00BD5FEF"/>
    <w:rsid w:val="00BE2A5E"/>
    <w:rsid w:val="00BE36FD"/>
    <w:rsid w:val="00BE4ECE"/>
    <w:rsid w:val="00BE5003"/>
    <w:rsid w:val="00BE536D"/>
    <w:rsid w:val="00BF01A8"/>
    <w:rsid w:val="00BF0F6E"/>
    <w:rsid w:val="00BF1738"/>
    <w:rsid w:val="00BF1E42"/>
    <w:rsid w:val="00BF2C3C"/>
    <w:rsid w:val="00BF5FE4"/>
    <w:rsid w:val="00C038A7"/>
    <w:rsid w:val="00C1043C"/>
    <w:rsid w:val="00C11014"/>
    <w:rsid w:val="00C14F36"/>
    <w:rsid w:val="00C162CF"/>
    <w:rsid w:val="00C16944"/>
    <w:rsid w:val="00C21303"/>
    <w:rsid w:val="00C23AD6"/>
    <w:rsid w:val="00C23C67"/>
    <w:rsid w:val="00C248DD"/>
    <w:rsid w:val="00C328E4"/>
    <w:rsid w:val="00C335D3"/>
    <w:rsid w:val="00C33EDE"/>
    <w:rsid w:val="00C352CF"/>
    <w:rsid w:val="00C354F0"/>
    <w:rsid w:val="00C3621B"/>
    <w:rsid w:val="00C40113"/>
    <w:rsid w:val="00C40D54"/>
    <w:rsid w:val="00C410E2"/>
    <w:rsid w:val="00C41237"/>
    <w:rsid w:val="00C42B21"/>
    <w:rsid w:val="00C4350E"/>
    <w:rsid w:val="00C46019"/>
    <w:rsid w:val="00C50E7C"/>
    <w:rsid w:val="00C5163F"/>
    <w:rsid w:val="00C56958"/>
    <w:rsid w:val="00C575F5"/>
    <w:rsid w:val="00C5772D"/>
    <w:rsid w:val="00C60E9C"/>
    <w:rsid w:val="00C62C4B"/>
    <w:rsid w:val="00C6511E"/>
    <w:rsid w:val="00C65D22"/>
    <w:rsid w:val="00C67FF5"/>
    <w:rsid w:val="00C73658"/>
    <w:rsid w:val="00C737BA"/>
    <w:rsid w:val="00C739CB"/>
    <w:rsid w:val="00C74B4F"/>
    <w:rsid w:val="00C755F4"/>
    <w:rsid w:val="00C80BA8"/>
    <w:rsid w:val="00C811C4"/>
    <w:rsid w:val="00C816DA"/>
    <w:rsid w:val="00C83258"/>
    <w:rsid w:val="00C8405D"/>
    <w:rsid w:val="00C86B82"/>
    <w:rsid w:val="00C918A5"/>
    <w:rsid w:val="00C967AB"/>
    <w:rsid w:val="00CA0B07"/>
    <w:rsid w:val="00CA1A71"/>
    <w:rsid w:val="00CA263D"/>
    <w:rsid w:val="00CA3FB2"/>
    <w:rsid w:val="00CB096F"/>
    <w:rsid w:val="00CB577E"/>
    <w:rsid w:val="00CB6113"/>
    <w:rsid w:val="00CB7A13"/>
    <w:rsid w:val="00CC063E"/>
    <w:rsid w:val="00CC1241"/>
    <w:rsid w:val="00CC25C9"/>
    <w:rsid w:val="00CC4DD1"/>
    <w:rsid w:val="00CC5979"/>
    <w:rsid w:val="00CC616C"/>
    <w:rsid w:val="00CC6C45"/>
    <w:rsid w:val="00CC7390"/>
    <w:rsid w:val="00CD0C4C"/>
    <w:rsid w:val="00CD0E1C"/>
    <w:rsid w:val="00CD103A"/>
    <w:rsid w:val="00CD120E"/>
    <w:rsid w:val="00CD27C2"/>
    <w:rsid w:val="00CD4B95"/>
    <w:rsid w:val="00CD4C4C"/>
    <w:rsid w:val="00CE2AEE"/>
    <w:rsid w:val="00CE4030"/>
    <w:rsid w:val="00CE75A7"/>
    <w:rsid w:val="00CF0618"/>
    <w:rsid w:val="00CF11B0"/>
    <w:rsid w:val="00CF1904"/>
    <w:rsid w:val="00CF2590"/>
    <w:rsid w:val="00CF36CE"/>
    <w:rsid w:val="00CF3D1D"/>
    <w:rsid w:val="00CF3E29"/>
    <w:rsid w:val="00CF48E1"/>
    <w:rsid w:val="00CF53E5"/>
    <w:rsid w:val="00CF637E"/>
    <w:rsid w:val="00CF6DD7"/>
    <w:rsid w:val="00D001C3"/>
    <w:rsid w:val="00D0038F"/>
    <w:rsid w:val="00D03D60"/>
    <w:rsid w:val="00D0745F"/>
    <w:rsid w:val="00D1330F"/>
    <w:rsid w:val="00D13387"/>
    <w:rsid w:val="00D17C4F"/>
    <w:rsid w:val="00D206C9"/>
    <w:rsid w:val="00D211F8"/>
    <w:rsid w:val="00D251C4"/>
    <w:rsid w:val="00D26016"/>
    <w:rsid w:val="00D273ED"/>
    <w:rsid w:val="00D30ABF"/>
    <w:rsid w:val="00D3253B"/>
    <w:rsid w:val="00D33329"/>
    <w:rsid w:val="00D33DD4"/>
    <w:rsid w:val="00D353FB"/>
    <w:rsid w:val="00D37394"/>
    <w:rsid w:val="00D40440"/>
    <w:rsid w:val="00D40A09"/>
    <w:rsid w:val="00D40C33"/>
    <w:rsid w:val="00D40D58"/>
    <w:rsid w:val="00D40F35"/>
    <w:rsid w:val="00D41294"/>
    <w:rsid w:val="00D415AF"/>
    <w:rsid w:val="00D4166F"/>
    <w:rsid w:val="00D4194C"/>
    <w:rsid w:val="00D440DE"/>
    <w:rsid w:val="00D475AD"/>
    <w:rsid w:val="00D47834"/>
    <w:rsid w:val="00D51055"/>
    <w:rsid w:val="00D5184A"/>
    <w:rsid w:val="00D5236E"/>
    <w:rsid w:val="00D5272E"/>
    <w:rsid w:val="00D53DBA"/>
    <w:rsid w:val="00D53F54"/>
    <w:rsid w:val="00D561F9"/>
    <w:rsid w:val="00D573C8"/>
    <w:rsid w:val="00D57CD3"/>
    <w:rsid w:val="00D57EBB"/>
    <w:rsid w:val="00D60581"/>
    <w:rsid w:val="00D61A65"/>
    <w:rsid w:val="00D62353"/>
    <w:rsid w:val="00D62AAC"/>
    <w:rsid w:val="00D63614"/>
    <w:rsid w:val="00D64014"/>
    <w:rsid w:val="00D706E2"/>
    <w:rsid w:val="00D7149B"/>
    <w:rsid w:val="00D73444"/>
    <w:rsid w:val="00D74253"/>
    <w:rsid w:val="00D75755"/>
    <w:rsid w:val="00D8337E"/>
    <w:rsid w:val="00D839CE"/>
    <w:rsid w:val="00D83FCB"/>
    <w:rsid w:val="00D85B0C"/>
    <w:rsid w:val="00D86279"/>
    <w:rsid w:val="00D868CB"/>
    <w:rsid w:val="00D8751F"/>
    <w:rsid w:val="00D87E5E"/>
    <w:rsid w:val="00D90130"/>
    <w:rsid w:val="00D9104F"/>
    <w:rsid w:val="00D93067"/>
    <w:rsid w:val="00D931DE"/>
    <w:rsid w:val="00D95F45"/>
    <w:rsid w:val="00DA032B"/>
    <w:rsid w:val="00DA0427"/>
    <w:rsid w:val="00DA062E"/>
    <w:rsid w:val="00DA110F"/>
    <w:rsid w:val="00DA1C5E"/>
    <w:rsid w:val="00DA1E3D"/>
    <w:rsid w:val="00DA2669"/>
    <w:rsid w:val="00DA607F"/>
    <w:rsid w:val="00DA6B5E"/>
    <w:rsid w:val="00DA79D2"/>
    <w:rsid w:val="00DB0413"/>
    <w:rsid w:val="00DB0F63"/>
    <w:rsid w:val="00DB18CB"/>
    <w:rsid w:val="00DB5E31"/>
    <w:rsid w:val="00DB6F80"/>
    <w:rsid w:val="00DC1A50"/>
    <w:rsid w:val="00DC35CC"/>
    <w:rsid w:val="00DC3F84"/>
    <w:rsid w:val="00DC67C3"/>
    <w:rsid w:val="00DD0785"/>
    <w:rsid w:val="00DD28A4"/>
    <w:rsid w:val="00DD4E26"/>
    <w:rsid w:val="00DE2C21"/>
    <w:rsid w:val="00DE3DF8"/>
    <w:rsid w:val="00DE5B8E"/>
    <w:rsid w:val="00DE6262"/>
    <w:rsid w:val="00DF025D"/>
    <w:rsid w:val="00DF0433"/>
    <w:rsid w:val="00DF0471"/>
    <w:rsid w:val="00DF0A40"/>
    <w:rsid w:val="00DF2588"/>
    <w:rsid w:val="00DF446C"/>
    <w:rsid w:val="00DF6750"/>
    <w:rsid w:val="00DF6882"/>
    <w:rsid w:val="00DF6DEC"/>
    <w:rsid w:val="00E00776"/>
    <w:rsid w:val="00E0416F"/>
    <w:rsid w:val="00E0483B"/>
    <w:rsid w:val="00E04B44"/>
    <w:rsid w:val="00E0692A"/>
    <w:rsid w:val="00E12703"/>
    <w:rsid w:val="00E1299F"/>
    <w:rsid w:val="00E12C5F"/>
    <w:rsid w:val="00E12D1A"/>
    <w:rsid w:val="00E1322C"/>
    <w:rsid w:val="00E132D4"/>
    <w:rsid w:val="00E136AB"/>
    <w:rsid w:val="00E14C20"/>
    <w:rsid w:val="00E15B18"/>
    <w:rsid w:val="00E16D99"/>
    <w:rsid w:val="00E23F22"/>
    <w:rsid w:val="00E240CF"/>
    <w:rsid w:val="00E243E1"/>
    <w:rsid w:val="00E2586E"/>
    <w:rsid w:val="00E25CC8"/>
    <w:rsid w:val="00E26508"/>
    <w:rsid w:val="00E31296"/>
    <w:rsid w:val="00E32C13"/>
    <w:rsid w:val="00E35236"/>
    <w:rsid w:val="00E364A2"/>
    <w:rsid w:val="00E41C10"/>
    <w:rsid w:val="00E450DF"/>
    <w:rsid w:val="00E453BE"/>
    <w:rsid w:val="00E45749"/>
    <w:rsid w:val="00E4578A"/>
    <w:rsid w:val="00E45EA3"/>
    <w:rsid w:val="00E471FC"/>
    <w:rsid w:val="00E472A2"/>
    <w:rsid w:val="00E47B66"/>
    <w:rsid w:val="00E5086A"/>
    <w:rsid w:val="00E51B4A"/>
    <w:rsid w:val="00E52646"/>
    <w:rsid w:val="00E551B8"/>
    <w:rsid w:val="00E5736A"/>
    <w:rsid w:val="00E601ED"/>
    <w:rsid w:val="00E60CB7"/>
    <w:rsid w:val="00E61E34"/>
    <w:rsid w:val="00E6299A"/>
    <w:rsid w:val="00E645C2"/>
    <w:rsid w:val="00E651CD"/>
    <w:rsid w:val="00E7008D"/>
    <w:rsid w:val="00E71978"/>
    <w:rsid w:val="00E719A1"/>
    <w:rsid w:val="00E73AE7"/>
    <w:rsid w:val="00E740F4"/>
    <w:rsid w:val="00E74204"/>
    <w:rsid w:val="00E74963"/>
    <w:rsid w:val="00E74AF6"/>
    <w:rsid w:val="00E75FAF"/>
    <w:rsid w:val="00E76608"/>
    <w:rsid w:val="00E76895"/>
    <w:rsid w:val="00E802FC"/>
    <w:rsid w:val="00E809F3"/>
    <w:rsid w:val="00E81162"/>
    <w:rsid w:val="00E82477"/>
    <w:rsid w:val="00E82BDF"/>
    <w:rsid w:val="00E847E7"/>
    <w:rsid w:val="00E85204"/>
    <w:rsid w:val="00E86735"/>
    <w:rsid w:val="00E918FA"/>
    <w:rsid w:val="00E93547"/>
    <w:rsid w:val="00E93738"/>
    <w:rsid w:val="00E9732D"/>
    <w:rsid w:val="00E97BBD"/>
    <w:rsid w:val="00EA0FEE"/>
    <w:rsid w:val="00EA54DB"/>
    <w:rsid w:val="00EA579A"/>
    <w:rsid w:val="00EA7B0F"/>
    <w:rsid w:val="00EB0A9A"/>
    <w:rsid w:val="00EB2411"/>
    <w:rsid w:val="00EB2EE5"/>
    <w:rsid w:val="00EB2F30"/>
    <w:rsid w:val="00EB3A09"/>
    <w:rsid w:val="00EC2EAE"/>
    <w:rsid w:val="00EC4F65"/>
    <w:rsid w:val="00EC60EE"/>
    <w:rsid w:val="00EC6143"/>
    <w:rsid w:val="00EC720A"/>
    <w:rsid w:val="00EC78F7"/>
    <w:rsid w:val="00EC7A66"/>
    <w:rsid w:val="00ED1359"/>
    <w:rsid w:val="00ED1A6D"/>
    <w:rsid w:val="00ED256F"/>
    <w:rsid w:val="00ED320E"/>
    <w:rsid w:val="00ED351C"/>
    <w:rsid w:val="00EE1F2A"/>
    <w:rsid w:val="00EE22DA"/>
    <w:rsid w:val="00EE3A17"/>
    <w:rsid w:val="00EE4550"/>
    <w:rsid w:val="00EE4691"/>
    <w:rsid w:val="00EF1A4E"/>
    <w:rsid w:val="00EF2311"/>
    <w:rsid w:val="00EF25CF"/>
    <w:rsid w:val="00EF2E0E"/>
    <w:rsid w:val="00EF3376"/>
    <w:rsid w:val="00EF338E"/>
    <w:rsid w:val="00EF3BCB"/>
    <w:rsid w:val="00EF6718"/>
    <w:rsid w:val="00EF7638"/>
    <w:rsid w:val="00EF7A8E"/>
    <w:rsid w:val="00EF7E64"/>
    <w:rsid w:val="00F01F92"/>
    <w:rsid w:val="00F0250C"/>
    <w:rsid w:val="00F02853"/>
    <w:rsid w:val="00F02FC7"/>
    <w:rsid w:val="00F0699A"/>
    <w:rsid w:val="00F07326"/>
    <w:rsid w:val="00F07F9E"/>
    <w:rsid w:val="00F11F04"/>
    <w:rsid w:val="00F13C25"/>
    <w:rsid w:val="00F13DAB"/>
    <w:rsid w:val="00F1454F"/>
    <w:rsid w:val="00F14591"/>
    <w:rsid w:val="00F150BD"/>
    <w:rsid w:val="00F171F6"/>
    <w:rsid w:val="00F21957"/>
    <w:rsid w:val="00F21B62"/>
    <w:rsid w:val="00F2391D"/>
    <w:rsid w:val="00F27763"/>
    <w:rsid w:val="00F30D68"/>
    <w:rsid w:val="00F31440"/>
    <w:rsid w:val="00F31582"/>
    <w:rsid w:val="00F35266"/>
    <w:rsid w:val="00F37287"/>
    <w:rsid w:val="00F41ACB"/>
    <w:rsid w:val="00F429FF"/>
    <w:rsid w:val="00F43BBA"/>
    <w:rsid w:val="00F43E84"/>
    <w:rsid w:val="00F44522"/>
    <w:rsid w:val="00F44594"/>
    <w:rsid w:val="00F51076"/>
    <w:rsid w:val="00F52DAE"/>
    <w:rsid w:val="00F549E8"/>
    <w:rsid w:val="00F54ABE"/>
    <w:rsid w:val="00F55E4F"/>
    <w:rsid w:val="00F605DF"/>
    <w:rsid w:val="00F63B1D"/>
    <w:rsid w:val="00F649D2"/>
    <w:rsid w:val="00F656CC"/>
    <w:rsid w:val="00F663DD"/>
    <w:rsid w:val="00F672CC"/>
    <w:rsid w:val="00F73582"/>
    <w:rsid w:val="00F7368F"/>
    <w:rsid w:val="00F73853"/>
    <w:rsid w:val="00F73935"/>
    <w:rsid w:val="00F75470"/>
    <w:rsid w:val="00F75B57"/>
    <w:rsid w:val="00F8001C"/>
    <w:rsid w:val="00F80E4F"/>
    <w:rsid w:val="00F81495"/>
    <w:rsid w:val="00F815A4"/>
    <w:rsid w:val="00F82321"/>
    <w:rsid w:val="00F83566"/>
    <w:rsid w:val="00F83E46"/>
    <w:rsid w:val="00F844AD"/>
    <w:rsid w:val="00F85B56"/>
    <w:rsid w:val="00F87912"/>
    <w:rsid w:val="00F91617"/>
    <w:rsid w:val="00F9249C"/>
    <w:rsid w:val="00F9399E"/>
    <w:rsid w:val="00F943BC"/>
    <w:rsid w:val="00F95ECD"/>
    <w:rsid w:val="00FA2F01"/>
    <w:rsid w:val="00FA3829"/>
    <w:rsid w:val="00FA3D6A"/>
    <w:rsid w:val="00FA7399"/>
    <w:rsid w:val="00FA781A"/>
    <w:rsid w:val="00FB17AC"/>
    <w:rsid w:val="00FB3D56"/>
    <w:rsid w:val="00FB530A"/>
    <w:rsid w:val="00FB53D1"/>
    <w:rsid w:val="00FB6405"/>
    <w:rsid w:val="00FC0B84"/>
    <w:rsid w:val="00FC0D17"/>
    <w:rsid w:val="00FC5C97"/>
    <w:rsid w:val="00FD41DE"/>
    <w:rsid w:val="00FE1136"/>
    <w:rsid w:val="00FE13D3"/>
    <w:rsid w:val="00FE25F0"/>
    <w:rsid w:val="00FE3D26"/>
    <w:rsid w:val="00FE7096"/>
    <w:rsid w:val="00FE736B"/>
    <w:rsid w:val="00FF0234"/>
    <w:rsid w:val="00FF03CA"/>
    <w:rsid w:val="00FF1C6C"/>
    <w:rsid w:val="00FF2CC3"/>
    <w:rsid w:val="00FF3D62"/>
    <w:rsid w:val="00FF53AC"/>
    <w:rsid w:val="00FF5F4B"/>
    <w:rsid w:val="00FF6A5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AC0450"/>
  <w15:docId w15:val="{A0C5644E-CEBB-47F3-A165-F50D5CCEF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36F6E"/>
    <w:pPr>
      <w:spacing w:after="180" w:line="274" w:lineRule="auto"/>
    </w:pPr>
    <w:rPr>
      <w:sz w:val="21"/>
    </w:rPr>
  </w:style>
  <w:style w:type="paragraph" w:styleId="Nadpis1">
    <w:name w:val="heading 1"/>
    <w:basedOn w:val="Normln"/>
    <w:next w:val="Normln"/>
    <w:link w:val="Nadpis1Char"/>
    <w:uiPriority w:val="9"/>
    <w:qFormat/>
    <w:rsid w:val="00436F6E"/>
    <w:pPr>
      <w:keepNext/>
      <w:keepLines/>
      <w:numPr>
        <w:numId w:val="1"/>
      </w:numPr>
      <w:spacing w:before="720" w:after="360" w:line="240" w:lineRule="auto"/>
      <w:outlineLvl w:val="0"/>
    </w:pPr>
    <w:rPr>
      <w:rFonts w:ascii="Calibri" w:eastAsiaTheme="majorEastAsia" w:hAnsi="Calibri" w:cstheme="majorBidi"/>
      <w:b/>
      <w:bCs/>
      <w:color w:val="4F81BD" w:themeColor="accent1"/>
      <w:spacing w:val="20"/>
      <w:sz w:val="32"/>
      <w:szCs w:val="28"/>
    </w:rPr>
  </w:style>
  <w:style w:type="paragraph" w:styleId="Nadpis2">
    <w:name w:val="heading 2"/>
    <w:basedOn w:val="Normln"/>
    <w:next w:val="Normln"/>
    <w:link w:val="Nadpis2Char"/>
    <w:uiPriority w:val="9"/>
    <w:unhideWhenUsed/>
    <w:qFormat/>
    <w:rsid w:val="00AC25F3"/>
    <w:pPr>
      <w:keepNext/>
      <w:keepLines/>
      <w:numPr>
        <w:ilvl w:val="1"/>
        <w:numId w:val="1"/>
      </w:numPr>
      <w:spacing w:before="360" w:after="240" w:line="240" w:lineRule="auto"/>
      <w:ind w:left="1002"/>
      <w:outlineLvl w:val="1"/>
    </w:pPr>
    <w:rPr>
      <w:rFonts w:ascii="Calibri" w:eastAsiaTheme="majorEastAsia" w:hAnsi="Calibri" w:cstheme="majorBidi"/>
      <w:b/>
      <w:bCs/>
      <w:color w:val="4F81BD" w:themeColor="accent1"/>
      <w:sz w:val="28"/>
      <w:szCs w:val="26"/>
    </w:rPr>
  </w:style>
  <w:style w:type="paragraph" w:styleId="Nadpis3">
    <w:name w:val="heading 3"/>
    <w:basedOn w:val="Normln"/>
    <w:next w:val="Normln"/>
    <w:link w:val="Nadpis3Char"/>
    <w:uiPriority w:val="9"/>
    <w:unhideWhenUsed/>
    <w:qFormat/>
    <w:rsid w:val="00463516"/>
    <w:pPr>
      <w:keepNext/>
      <w:keepLines/>
      <w:numPr>
        <w:ilvl w:val="2"/>
        <w:numId w:val="1"/>
      </w:numPr>
      <w:spacing w:before="20" w:after="0" w:line="240" w:lineRule="auto"/>
      <w:outlineLvl w:val="2"/>
    </w:pPr>
    <w:rPr>
      <w:rFonts w:ascii="Calibri" w:eastAsiaTheme="majorEastAsia" w:hAnsi="Calibri" w:cstheme="majorBidi"/>
      <w:b/>
      <w:bCs/>
      <w:color w:val="1F497D" w:themeColor="text2"/>
      <w:spacing w:val="14"/>
      <w:sz w:val="24"/>
    </w:rPr>
  </w:style>
  <w:style w:type="paragraph" w:styleId="Nadpis4">
    <w:name w:val="heading 4"/>
    <w:basedOn w:val="Normln"/>
    <w:next w:val="Normln"/>
    <w:link w:val="Nadpis4Char"/>
    <w:uiPriority w:val="9"/>
    <w:semiHidden/>
    <w:unhideWhenUsed/>
    <w:qFormat/>
    <w:rsid w:val="00436F6E"/>
    <w:pPr>
      <w:keepNext/>
      <w:keepLines/>
      <w:numPr>
        <w:ilvl w:val="3"/>
        <w:numId w:val="1"/>
      </w:numPr>
      <w:spacing w:before="200" w:after="0"/>
      <w:outlineLvl w:val="3"/>
    </w:pPr>
    <w:rPr>
      <w:rFonts w:eastAsiaTheme="majorEastAsia" w:cstheme="majorBidi"/>
      <w:b/>
      <w:bCs/>
      <w:i/>
      <w:iCs/>
      <w:color w:val="000000"/>
      <w:sz w:val="24"/>
    </w:rPr>
  </w:style>
  <w:style w:type="paragraph" w:styleId="Nadpis5">
    <w:name w:val="heading 5"/>
    <w:basedOn w:val="Normln"/>
    <w:next w:val="Normln"/>
    <w:link w:val="Nadpis5Char"/>
    <w:uiPriority w:val="9"/>
    <w:semiHidden/>
    <w:unhideWhenUsed/>
    <w:qFormat/>
    <w:rsid w:val="00436F6E"/>
    <w:pPr>
      <w:keepNext/>
      <w:keepLines/>
      <w:numPr>
        <w:ilvl w:val="4"/>
        <w:numId w:val="1"/>
      </w:numPr>
      <w:spacing w:before="200" w:after="0"/>
      <w:outlineLvl w:val="4"/>
    </w:pPr>
    <w:rPr>
      <w:rFonts w:asciiTheme="majorHAnsi" w:eastAsiaTheme="majorEastAsia" w:hAnsiTheme="majorHAnsi" w:cstheme="majorBidi"/>
      <w:color w:val="000000"/>
      <w:sz w:val="22"/>
    </w:rPr>
  </w:style>
  <w:style w:type="paragraph" w:styleId="Nadpis6">
    <w:name w:val="heading 6"/>
    <w:basedOn w:val="Normln"/>
    <w:next w:val="Normln"/>
    <w:link w:val="Nadpis6Char"/>
    <w:uiPriority w:val="9"/>
    <w:semiHidden/>
    <w:unhideWhenUsed/>
    <w:qFormat/>
    <w:rsid w:val="00436F6E"/>
    <w:pPr>
      <w:keepNext/>
      <w:keepLines/>
      <w:numPr>
        <w:ilvl w:val="5"/>
        <w:numId w:val="1"/>
      </w:numPr>
      <w:spacing w:before="200" w:after="0"/>
      <w:outlineLvl w:val="5"/>
    </w:pPr>
    <w:rPr>
      <w:rFonts w:asciiTheme="majorHAnsi" w:eastAsiaTheme="majorEastAsia" w:hAnsiTheme="majorHAnsi" w:cstheme="majorBidi"/>
      <w:iCs/>
      <w:color w:val="4F81BD" w:themeColor="accent1"/>
      <w:sz w:val="22"/>
    </w:rPr>
  </w:style>
  <w:style w:type="paragraph" w:styleId="Nadpis7">
    <w:name w:val="heading 7"/>
    <w:basedOn w:val="Normln"/>
    <w:next w:val="Normln"/>
    <w:link w:val="Nadpis7Char"/>
    <w:uiPriority w:val="9"/>
    <w:semiHidden/>
    <w:unhideWhenUsed/>
    <w:qFormat/>
    <w:rsid w:val="00436F6E"/>
    <w:pPr>
      <w:keepNext/>
      <w:keepLines/>
      <w:numPr>
        <w:ilvl w:val="6"/>
        <w:numId w:val="1"/>
      </w:numPr>
      <w:spacing w:before="200" w:after="0"/>
      <w:outlineLvl w:val="6"/>
    </w:pPr>
    <w:rPr>
      <w:rFonts w:asciiTheme="majorHAnsi" w:eastAsiaTheme="majorEastAsia" w:hAnsiTheme="majorHAnsi" w:cstheme="majorBidi"/>
      <w:i/>
      <w:iCs/>
      <w:color w:val="000000"/>
      <w:sz w:val="22"/>
    </w:rPr>
  </w:style>
  <w:style w:type="paragraph" w:styleId="Nadpis8">
    <w:name w:val="heading 8"/>
    <w:basedOn w:val="Normln"/>
    <w:next w:val="Normln"/>
    <w:link w:val="Nadpis8Char"/>
    <w:uiPriority w:val="9"/>
    <w:unhideWhenUsed/>
    <w:qFormat/>
    <w:rsid w:val="00436F6E"/>
    <w:pPr>
      <w:keepNext/>
      <w:keepLines/>
      <w:numPr>
        <w:ilvl w:val="7"/>
        <w:numId w:val="1"/>
      </w:numPr>
      <w:spacing w:before="200" w:after="0"/>
      <w:outlineLvl w:val="7"/>
    </w:pPr>
    <w:rPr>
      <w:rFonts w:asciiTheme="majorHAnsi" w:eastAsiaTheme="majorEastAsia" w:hAnsiTheme="majorHAnsi" w:cstheme="majorBidi"/>
      <w:color w:val="000000"/>
      <w:sz w:val="20"/>
      <w:szCs w:val="20"/>
    </w:rPr>
  </w:style>
  <w:style w:type="paragraph" w:styleId="Nadpis9">
    <w:name w:val="heading 9"/>
    <w:basedOn w:val="Normln"/>
    <w:next w:val="Normln"/>
    <w:link w:val="Nadpis9Char"/>
    <w:uiPriority w:val="9"/>
    <w:semiHidden/>
    <w:unhideWhenUsed/>
    <w:qFormat/>
    <w:rsid w:val="00436F6E"/>
    <w:pPr>
      <w:keepNext/>
      <w:keepLines/>
      <w:numPr>
        <w:ilvl w:val="8"/>
        <w:numId w:val="1"/>
      </w:numPr>
      <w:spacing w:before="200" w:after="0"/>
      <w:outlineLvl w:val="8"/>
    </w:pPr>
    <w:rPr>
      <w:rFonts w:asciiTheme="majorHAnsi" w:eastAsiaTheme="majorEastAsia" w:hAnsiTheme="majorHAnsi" w:cstheme="majorBidi"/>
      <w:i/>
      <w:iCs/>
      <w:color w:val="00000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436F6E"/>
    <w:rPr>
      <w:rFonts w:ascii="Calibri" w:eastAsiaTheme="majorEastAsia" w:hAnsi="Calibri" w:cstheme="majorBidi"/>
      <w:b/>
      <w:bCs/>
      <w:color w:val="4F81BD" w:themeColor="accent1"/>
      <w:spacing w:val="20"/>
      <w:sz w:val="32"/>
      <w:szCs w:val="28"/>
    </w:rPr>
  </w:style>
  <w:style w:type="character" w:customStyle="1" w:styleId="Nadpis2Char">
    <w:name w:val="Nadpis 2 Char"/>
    <w:basedOn w:val="Standardnpsmoodstavce"/>
    <w:link w:val="Nadpis2"/>
    <w:uiPriority w:val="9"/>
    <w:rsid w:val="00AC25F3"/>
    <w:rPr>
      <w:rFonts w:ascii="Calibri" w:eastAsiaTheme="majorEastAsia" w:hAnsi="Calibri" w:cstheme="majorBidi"/>
      <w:b/>
      <w:bCs/>
      <w:color w:val="4F81BD" w:themeColor="accent1"/>
      <w:sz w:val="28"/>
      <w:szCs w:val="26"/>
    </w:rPr>
  </w:style>
  <w:style w:type="character" w:customStyle="1" w:styleId="Nadpis3Char">
    <w:name w:val="Nadpis 3 Char"/>
    <w:basedOn w:val="Standardnpsmoodstavce"/>
    <w:link w:val="Nadpis3"/>
    <w:uiPriority w:val="9"/>
    <w:rsid w:val="00463516"/>
    <w:rPr>
      <w:rFonts w:ascii="Calibri" w:eastAsiaTheme="majorEastAsia" w:hAnsi="Calibri" w:cstheme="majorBidi"/>
      <w:b/>
      <w:bCs/>
      <w:color w:val="1F497D" w:themeColor="text2"/>
      <w:spacing w:val="14"/>
      <w:sz w:val="24"/>
    </w:rPr>
  </w:style>
  <w:style w:type="character" w:customStyle="1" w:styleId="Nadpis4Char">
    <w:name w:val="Nadpis 4 Char"/>
    <w:basedOn w:val="Standardnpsmoodstavce"/>
    <w:link w:val="Nadpis4"/>
    <w:uiPriority w:val="9"/>
    <w:semiHidden/>
    <w:rsid w:val="00436F6E"/>
    <w:rPr>
      <w:rFonts w:eastAsiaTheme="majorEastAsia" w:cstheme="majorBidi"/>
      <w:b/>
      <w:bCs/>
      <w:i/>
      <w:iCs/>
      <w:color w:val="000000"/>
      <w:sz w:val="24"/>
    </w:rPr>
  </w:style>
  <w:style w:type="character" w:customStyle="1" w:styleId="Nadpis5Char">
    <w:name w:val="Nadpis 5 Char"/>
    <w:basedOn w:val="Standardnpsmoodstavce"/>
    <w:link w:val="Nadpis5"/>
    <w:uiPriority w:val="9"/>
    <w:semiHidden/>
    <w:rsid w:val="00436F6E"/>
    <w:rPr>
      <w:rFonts w:asciiTheme="majorHAnsi" w:eastAsiaTheme="majorEastAsia" w:hAnsiTheme="majorHAnsi" w:cstheme="majorBidi"/>
      <w:color w:val="000000"/>
    </w:rPr>
  </w:style>
  <w:style w:type="character" w:customStyle="1" w:styleId="Nadpis6Char">
    <w:name w:val="Nadpis 6 Char"/>
    <w:basedOn w:val="Standardnpsmoodstavce"/>
    <w:link w:val="Nadpis6"/>
    <w:uiPriority w:val="9"/>
    <w:semiHidden/>
    <w:rsid w:val="00436F6E"/>
    <w:rPr>
      <w:rFonts w:asciiTheme="majorHAnsi" w:eastAsiaTheme="majorEastAsia" w:hAnsiTheme="majorHAnsi" w:cstheme="majorBidi"/>
      <w:iCs/>
      <w:color w:val="4F81BD" w:themeColor="accent1"/>
    </w:rPr>
  </w:style>
  <w:style w:type="character" w:customStyle="1" w:styleId="Nadpis7Char">
    <w:name w:val="Nadpis 7 Char"/>
    <w:basedOn w:val="Standardnpsmoodstavce"/>
    <w:link w:val="Nadpis7"/>
    <w:uiPriority w:val="9"/>
    <w:semiHidden/>
    <w:rsid w:val="00436F6E"/>
    <w:rPr>
      <w:rFonts w:asciiTheme="majorHAnsi" w:eastAsiaTheme="majorEastAsia" w:hAnsiTheme="majorHAnsi" w:cstheme="majorBidi"/>
      <w:i/>
      <w:iCs/>
      <w:color w:val="000000"/>
    </w:rPr>
  </w:style>
  <w:style w:type="character" w:customStyle="1" w:styleId="Nadpis8Char">
    <w:name w:val="Nadpis 8 Char"/>
    <w:basedOn w:val="Standardnpsmoodstavce"/>
    <w:link w:val="Nadpis8"/>
    <w:uiPriority w:val="9"/>
    <w:rsid w:val="00436F6E"/>
    <w:rPr>
      <w:rFonts w:asciiTheme="majorHAnsi" w:eastAsiaTheme="majorEastAsia" w:hAnsiTheme="majorHAnsi" w:cstheme="majorBidi"/>
      <w:color w:val="000000"/>
      <w:sz w:val="20"/>
      <w:szCs w:val="20"/>
    </w:rPr>
  </w:style>
  <w:style w:type="character" w:customStyle="1" w:styleId="Nadpis9Char">
    <w:name w:val="Nadpis 9 Char"/>
    <w:basedOn w:val="Standardnpsmoodstavce"/>
    <w:link w:val="Nadpis9"/>
    <w:uiPriority w:val="9"/>
    <w:semiHidden/>
    <w:rsid w:val="00436F6E"/>
    <w:rPr>
      <w:rFonts w:asciiTheme="majorHAnsi" w:eastAsiaTheme="majorEastAsia" w:hAnsiTheme="majorHAnsi" w:cstheme="majorBidi"/>
      <w:i/>
      <w:iCs/>
      <w:color w:val="000000"/>
      <w:sz w:val="20"/>
      <w:szCs w:val="20"/>
    </w:rPr>
  </w:style>
  <w:style w:type="paragraph" w:styleId="Nzev">
    <w:name w:val="Title"/>
    <w:basedOn w:val="Normln"/>
    <w:next w:val="Normln"/>
    <w:link w:val="NzevChar"/>
    <w:uiPriority w:val="10"/>
    <w:qFormat/>
    <w:rsid w:val="00436F6E"/>
    <w:pPr>
      <w:spacing w:after="120" w:line="240" w:lineRule="auto"/>
      <w:contextualSpacing/>
    </w:pPr>
    <w:rPr>
      <w:rFonts w:asciiTheme="majorHAnsi" w:eastAsiaTheme="majorEastAsia" w:hAnsiTheme="majorHAnsi" w:cstheme="majorBidi"/>
      <w:color w:val="1F497D" w:themeColor="text2"/>
      <w:spacing w:val="30"/>
      <w:kern w:val="28"/>
      <w:sz w:val="96"/>
      <w:szCs w:val="52"/>
    </w:rPr>
  </w:style>
  <w:style w:type="character" w:customStyle="1" w:styleId="NzevChar">
    <w:name w:val="Název Char"/>
    <w:basedOn w:val="Standardnpsmoodstavce"/>
    <w:link w:val="Nzev"/>
    <w:uiPriority w:val="10"/>
    <w:rsid w:val="00436F6E"/>
    <w:rPr>
      <w:rFonts w:asciiTheme="majorHAnsi" w:eastAsiaTheme="majorEastAsia" w:hAnsiTheme="majorHAnsi" w:cstheme="majorBidi"/>
      <w:color w:val="1F497D" w:themeColor="text2"/>
      <w:spacing w:val="30"/>
      <w:kern w:val="28"/>
      <w:sz w:val="96"/>
      <w:szCs w:val="52"/>
    </w:rPr>
  </w:style>
  <w:style w:type="paragraph" w:styleId="Zkladntext">
    <w:name w:val="Body Text"/>
    <w:basedOn w:val="Normln"/>
    <w:link w:val="ZkladntextChar"/>
    <w:rsid w:val="00436F6E"/>
    <w:pPr>
      <w:overflowPunct w:val="0"/>
      <w:autoSpaceDE w:val="0"/>
      <w:autoSpaceDN w:val="0"/>
      <w:adjustRightInd w:val="0"/>
      <w:spacing w:after="0" w:line="240" w:lineRule="auto"/>
    </w:pPr>
    <w:rPr>
      <w:rFonts w:ascii="Times New Roman" w:eastAsia="Times New Roman" w:hAnsi="Times New Roman" w:cs="Times New Roman"/>
      <w:b/>
      <w:sz w:val="24"/>
      <w:szCs w:val="20"/>
      <w:lang w:eastAsia="cs-CZ"/>
    </w:rPr>
  </w:style>
  <w:style w:type="character" w:customStyle="1" w:styleId="ZkladntextChar">
    <w:name w:val="Základní text Char"/>
    <w:basedOn w:val="Standardnpsmoodstavce"/>
    <w:link w:val="Zkladntext"/>
    <w:rsid w:val="00436F6E"/>
    <w:rPr>
      <w:rFonts w:ascii="Times New Roman" w:eastAsia="Times New Roman" w:hAnsi="Times New Roman" w:cs="Times New Roman"/>
      <w:b/>
      <w:sz w:val="24"/>
      <w:szCs w:val="20"/>
      <w:lang w:eastAsia="cs-CZ"/>
    </w:rPr>
  </w:style>
  <w:style w:type="paragraph" w:styleId="Zpat">
    <w:name w:val="footer"/>
    <w:basedOn w:val="Normln"/>
    <w:link w:val="ZpatChar"/>
    <w:rsid w:val="00436F6E"/>
    <w:pPr>
      <w:tabs>
        <w:tab w:val="center" w:pos="4536"/>
        <w:tab w:val="right" w:pos="9072"/>
      </w:tabs>
      <w:spacing w:after="0" w:line="240" w:lineRule="auto"/>
    </w:pPr>
    <w:rPr>
      <w:rFonts w:ascii="Times New Roman" w:eastAsia="Times New Roman" w:hAnsi="Times New Roman" w:cs="Times New Roman"/>
      <w:sz w:val="24"/>
      <w:szCs w:val="24"/>
      <w:lang w:eastAsia="cs-CZ"/>
    </w:rPr>
  </w:style>
  <w:style w:type="character" w:customStyle="1" w:styleId="ZpatChar">
    <w:name w:val="Zápatí Char"/>
    <w:basedOn w:val="Standardnpsmoodstavce"/>
    <w:link w:val="Zpat"/>
    <w:rsid w:val="00436F6E"/>
    <w:rPr>
      <w:rFonts w:ascii="Times New Roman" w:eastAsia="Times New Roman" w:hAnsi="Times New Roman" w:cs="Times New Roman"/>
      <w:sz w:val="24"/>
      <w:szCs w:val="24"/>
      <w:lang w:eastAsia="cs-CZ"/>
    </w:rPr>
  </w:style>
  <w:style w:type="character" w:styleId="slostrnky">
    <w:name w:val="page number"/>
    <w:basedOn w:val="Standardnpsmoodstavce"/>
    <w:rsid w:val="00436F6E"/>
  </w:style>
  <w:style w:type="paragraph" w:styleId="Textpoznpodarou">
    <w:name w:val="footnote text"/>
    <w:basedOn w:val="Normln"/>
    <w:link w:val="TextpoznpodarouChar"/>
    <w:uiPriority w:val="99"/>
    <w:semiHidden/>
    <w:rsid w:val="00436F6E"/>
    <w:pPr>
      <w:spacing w:after="0" w:line="240" w:lineRule="auto"/>
    </w:pPr>
    <w:rPr>
      <w:rFonts w:ascii="Times New Roman" w:eastAsia="Times New Roman" w:hAnsi="Times New Roman" w:cs="Times New Roman"/>
      <w:sz w:val="20"/>
      <w:szCs w:val="20"/>
      <w:lang w:eastAsia="cs-CZ"/>
    </w:rPr>
  </w:style>
  <w:style w:type="character" w:customStyle="1" w:styleId="TextpoznpodarouChar">
    <w:name w:val="Text pozn. pod čarou Char"/>
    <w:basedOn w:val="Standardnpsmoodstavce"/>
    <w:link w:val="Textpoznpodarou"/>
    <w:uiPriority w:val="99"/>
    <w:semiHidden/>
    <w:rsid w:val="00436F6E"/>
    <w:rPr>
      <w:rFonts w:ascii="Times New Roman" w:eastAsia="Times New Roman" w:hAnsi="Times New Roman" w:cs="Times New Roman"/>
      <w:sz w:val="20"/>
      <w:szCs w:val="20"/>
      <w:lang w:eastAsia="cs-CZ"/>
    </w:rPr>
  </w:style>
  <w:style w:type="character" w:styleId="Znakapoznpodarou">
    <w:name w:val="footnote reference"/>
    <w:uiPriority w:val="99"/>
    <w:semiHidden/>
    <w:rsid w:val="00436F6E"/>
    <w:rPr>
      <w:vertAlign w:val="superscript"/>
    </w:rPr>
  </w:style>
  <w:style w:type="paragraph" w:styleId="Textbubliny">
    <w:name w:val="Balloon Text"/>
    <w:basedOn w:val="Normln"/>
    <w:link w:val="TextbublinyChar"/>
    <w:uiPriority w:val="99"/>
    <w:semiHidden/>
    <w:unhideWhenUsed/>
    <w:rsid w:val="00436F6E"/>
    <w:pPr>
      <w:spacing w:after="0" w:line="240" w:lineRule="auto"/>
    </w:pPr>
    <w:rPr>
      <w:rFonts w:ascii="Tahoma" w:eastAsia="Times New Roman" w:hAnsi="Tahoma" w:cs="Tahoma"/>
      <w:sz w:val="16"/>
      <w:szCs w:val="16"/>
      <w:lang w:eastAsia="cs-CZ"/>
    </w:rPr>
  </w:style>
  <w:style w:type="character" w:customStyle="1" w:styleId="TextbublinyChar">
    <w:name w:val="Text bubliny Char"/>
    <w:basedOn w:val="Standardnpsmoodstavce"/>
    <w:link w:val="Textbubliny"/>
    <w:uiPriority w:val="99"/>
    <w:semiHidden/>
    <w:rsid w:val="00436F6E"/>
    <w:rPr>
      <w:rFonts w:ascii="Tahoma" w:eastAsia="Times New Roman" w:hAnsi="Tahoma" w:cs="Tahoma"/>
      <w:sz w:val="16"/>
      <w:szCs w:val="16"/>
      <w:lang w:eastAsia="cs-CZ"/>
    </w:rPr>
  </w:style>
  <w:style w:type="paragraph" w:styleId="Odstavecseseznamem">
    <w:name w:val="List Paragraph"/>
    <w:aliases w:val="Odstavec se seznamem a odrážkou,1 úroveň Odstavec se seznamem,Základní styl odstavce,Styl 3"/>
    <w:basedOn w:val="Normln"/>
    <w:link w:val="OdstavecseseznamemChar"/>
    <w:uiPriority w:val="34"/>
    <w:qFormat/>
    <w:rsid w:val="00436F6E"/>
    <w:pPr>
      <w:spacing w:line="240" w:lineRule="auto"/>
      <w:ind w:left="720" w:hanging="288"/>
      <w:contextualSpacing/>
    </w:pPr>
    <w:rPr>
      <w:color w:val="1F497D" w:themeColor="text2"/>
    </w:rPr>
  </w:style>
  <w:style w:type="paragraph" w:styleId="Zhlav">
    <w:name w:val="header"/>
    <w:basedOn w:val="Normln"/>
    <w:link w:val="ZhlavChar"/>
    <w:uiPriority w:val="99"/>
    <w:unhideWhenUsed/>
    <w:rsid w:val="00436F6E"/>
    <w:pPr>
      <w:tabs>
        <w:tab w:val="center" w:pos="4536"/>
        <w:tab w:val="right" w:pos="9072"/>
      </w:tabs>
      <w:spacing w:after="0" w:line="240" w:lineRule="auto"/>
    </w:pPr>
    <w:rPr>
      <w:rFonts w:ascii="Times New Roman" w:eastAsia="Times New Roman" w:hAnsi="Times New Roman" w:cs="Times New Roman"/>
      <w:sz w:val="24"/>
      <w:szCs w:val="24"/>
      <w:lang w:eastAsia="cs-CZ"/>
    </w:rPr>
  </w:style>
  <w:style w:type="character" w:customStyle="1" w:styleId="ZhlavChar">
    <w:name w:val="Záhlaví Char"/>
    <w:basedOn w:val="Standardnpsmoodstavce"/>
    <w:link w:val="Zhlav"/>
    <w:uiPriority w:val="99"/>
    <w:rsid w:val="00436F6E"/>
    <w:rPr>
      <w:rFonts w:ascii="Times New Roman" w:eastAsia="Times New Roman" w:hAnsi="Times New Roman" w:cs="Times New Roman"/>
      <w:sz w:val="24"/>
      <w:szCs w:val="24"/>
      <w:lang w:eastAsia="cs-CZ"/>
    </w:rPr>
  </w:style>
  <w:style w:type="paragraph" w:customStyle="1" w:styleId="Zkladntext21">
    <w:name w:val="Základní text 21"/>
    <w:basedOn w:val="Normln"/>
    <w:rsid w:val="00436F6E"/>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cs-CZ"/>
    </w:rPr>
  </w:style>
  <w:style w:type="character" w:styleId="Zdraznnjemn">
    <w:name w:val="Subtle Emphasis"/>
    <w:basedOn w:val="Standardnpsmoodstavce"/>
    <w:uiPriority w:val="19"/>
    <w:qFormat/>
    <w:rsid w:val="00436F6E"/>
    <w:rPr>
      <w:i/>
      <w:iCs/>
      <w:color w:val="000000"/>
    </w:rPr>
  </w:style>
  <w:style w:type="character" w:styleId="Odkaznakoment">
    <w:name w:val="annotation reference"/>
    <w:semiHidden/>
    <w:unhideWhenUsed/>
    <w:rsid w:val="00436F6E"/>
    <w:rPr>
      <w:sz w:val="16"/>
      <w:szCs w:val="16"/>
    </w:rPr>
  </w:style>
  <w:style w:type="paragraph" w:styleId="Textkomente">
    <w:name w:val="annotation text"/>
    <w:basedOn w:val="Normln"/>
    <w:link w:val="TextkomenteChar"/>
    <w:unhideWhenUsed/>
    <w:rsid w:val="00436F6E"/>
    <w:pPr>
      <w:spacing w:after="0" w:line="240" w:lineRule="auto"/>
    </w:pPr>
    <w:rPr>
      <w:rFonts w:ascii="Times New Roman" w:eastAsia="Times New Roman" w:hAnsi="Times New Roman" w:cs="Times New Roman"/>
      <w:sz w:val="20"/>
      <w:szCs w:val="20"/>
      <w:lang w:eastAsia="cs-CZ"/>
    </w:rPr>
  </w:style>
  <w:style w:type="character" w:customStyle="1" w:styleId="TextkomenteChar">
    <w:name w:val="Text komentáře Char"/>
    <w:basedOn w:val="Standardnpsmoodstavce"/>
    <w:link w:val="Textkomente"/>
    <w:rsid w:val="00436F6E"/>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436F6E"/>
    <w:rPr>
      <w:b/>
      <w:bCs/>
    </w:rPr>
  </w:style>
  <w:style w:type="character" w:customStyle="1" w:styleId="PedmtkomenteChar">
    <w:name w:val="Předmět komentáře Char"/>
    <w:basedOn w:val="TextkomenteChar"/>
    <w:link w:val="Pedmtkomente"/>
    <w:uiPriority w:val="99"/>
    <w:semiHidden/>
    <w:rsid w:val="00436F6E"/>
    <w:rPr>
      <w:rFonts w:ascii="Times New Roman" w:eastAsia="Times New Roman" w:hAnsi="Times New Roman" w:cs="Times New Roman"/>
      <w:b/>
      <w:bCs/>
      <w:sz w:val="20"/>
      <w:szCs w:val="20"/>
      <w:lang w:eastAsia="cs-CZ"/>
    </w:rPr>
  </w:style>
  <w:style w:type="paragraph" w:styleId="Revize">
    <w:name w:val="Revision"/>
    <w:hidden/>
    <w:uiPriority w:val="99"/>
    <w:semiHidden/>
    <w:rsid w:val="00436F6E"/>
    <w:pPr>
      <w:spacing w:after="0" w:line="240" w:lineRule="auto"/>
    </w:pPr>
  </w:style>
  <w:style w:type="paragraph" w:customStyle="1" w:styleId="Default">
    <w:name w:val="Default"/>
    <w:rsid w:val="00436F6E"/>
    <w:pPr>
      <w:autoSpaceDE w:val="0"/>
      <w:autoSpaceDN w:val="0"/>
      <w:adjustRightInd w:val="0"/>
      <w:spacing w:after="0" w:line="240" w:lineRule="auto"/>
    </w:pPr>
    <w:rPr>
      <w:rFonts w:ascii="Times New Roman" w:eastAsia="Times New Roman" w:hAnsi="Times New Roman" w:cs="Times New Roman"/>
      <w:color w:val="000000"/>
      <w:sz w:val="24"/>
      <w:szCs w:val="24"/>
      <w:lang w:eastAsia="cs-CZ"/>
    </w:rPr>
  </w:style>
  <w:style w:type="paragraph" w:customStyle="1" w:styleId="TEXT">
    <w:name w:val="TEXT"/>
    <w:basedOn w:val="TEXT1OD"/>
    <w:link w:val="TEXTChar"/>
    <w:qFormat/>
    <w:rsid w:val="00436F6E"/>
    <w:pPr>
      <w:spacing w:before="60" w:after="60" w:line="288" w:lineRule="auto"/>
      <w:ind w:firstLine="425"/>
    </w:pPr>
    <w:rPr>
      <w:rFonts w:ascii="Times New Roman" w:hAnsi="Times New Roman" w:cs="Times New Roman"/>
      <w:sz w:val="22"/>
      <w:szCs w:val="22"/>
    </w:rPr>
  </w:style>
  <w:style w:type="paragraph" w:customStyle="1" w:styleId="TABOBR">
    <w:name w:val="TAB+OBR"/>
    <w:basedOn w:val="Normln"/>
    <w:link w:val="TABOBRChar"/>
    <w:qFormat/>
    <w:rsid w:val="00436F6E"/>
    <w:pPr>
      <w:spacing w:before="240" w:after="0" w:line="240" w:lineRule="auto"/>
      <w:jc w:val="both"/>
    </w:pPr>
    <w:rPr>
      <w:rFonts w:cs="Arial"/>
      <w:b/>
      <w:lang w:eastAsia="cs-CZ"/>
    </w:rPr>
  </w:style>
  <w:style w:type="character" w:customStyle="1" w:styleId="TEXTChar">
    <w:name w:val="TEXT Char"/>
    <w:basedOn w:val="Standardnpsmoodstavce"/>
    <w:link w:val="TEXT"/>
    <w:rsid w:val="00436F6E"/>
    <w:rPr>
      <w:rFonts w:ascii="Times New Roman" w:hAnsi="Times New Roman" w:cs="Times New Roman"/>
      <w:lang w:eastAsia="cs-CZ"/>
    </w:rPr>
  </w:style>
  <w:style w:type="paragraph" w:customStyle="1" w:styleId="TEXT1OD">
    <w:name w:val="TEXT_1.OD"/>
    <w:basedOn w:val="Normln"/>
    <w:link w:val="TEXT1ODChar"/>
    <w:rsid w:val="00436F6E"/>
    <w:pPr>
      <w:spacing w:after="120" w:line="264" w:lineRule="auto"/>
      <w:jc w:val="both"/>
    </w:pPr>
    <w:rPr>
      <w:rFonts w:cs="Arial"/>
      <w:sz w:val="24"/>
      <w:szCs w:val="24"/>
      <w:lang w:eastAsia="cs-CZ"/>
    </w:rPr>
  </w:style>
  <w:style w:type="character" w:customStyle="1" w:styleId="TABOBRChar">
    <w:name w:val="TAB+OBR Char"/>
    <w:basedOn w:val="Standardnpsmoodstavce"/>
    <w:link w:val="TABOBR"/>
    <w:rsid w:val="00436F6E"/>
    <w:rPr>
      <w:rFonts w:cs="Arial"/>
      <w:b/>
      <w:sz w:val="21"/>
      <w:lang w:eastAsia="cs-CZ"/>
    </w:rPr>
  </w:style>
  <w:style w:type="character" w:customStyle="1" w:styleId="TEXT1ODChar">
    <w:name w:val="TEXT_1.OD Char"/>
    <w:basedOn w:val="Standardnpsmoodstavce"/>
    <w:link w:val="TEXT1OD"/>
    <w:rsid w:val="00436F6E"/>
    <w:rPr>
      <w:rFonts w:cs="Arial"/>
      <w:sz w:val="24"/>
      <w:szCs w:val="24"/>
      <w:lang w:eastAsia="cs-CZ"/>
    </w:rPr>
  </w:style>
  <w:style w:type="paragraph" w:customStyle="1" w:styleId="NADPIS">
    <w:name w:val="NADPIS"/>
    <w:basedOn w:val="Normln"/>
    <w:link w:val="NADPISChar"/>
    <w:qFormat/>
    <w:rsid w:val="00436F6E"/>
    <w:pPr>
      <w:spacing w:before="360" w:after="60"/>
    </w:pPr>
    <w:rPr>
      <w:rFonts w:eastAsia="Times New Roman" w:cs="Arial"/>
      <w:b/>
      <w:sz w:val="28"/>
      <w:szCs w:val="28"/>
      <w:lang w:eastAsia="cs-CZ"/>
    </w:rPr>
  </w:style>
  <w:style w:type="character" w:customStyle="1" w:styleId="NADPISChar">
    <w:name w:val="NADPIS Char"/>
    <w:basedOn w:val="Standardnpsmoodstavce"/>
    <w:link w:val="NADPIS"/>
    <w:rsid w:val="00436F6E"/>
    <w:rPr>
      <w:rFonts w:eastAsia="Times New Roman" w:cs="Arial"/>
      <w:b/>
      <w:sz w:val="28"/>
      <w:szCs w:val="28"/>
      <w:lang w:eastAsia="cs-CZ"/>
    </w:rPr>
  </w:style>
  <w:style w:type="paragraph" w:customStyle="1" w:styleId="TABOBR0">
    <w:name w:val="TAB/OBR"/>
    <w:basedOn w:val="Normln"/>
    <w:link w:val="TABOBRChar0"/>
    <w:qFormat/>
    <w:rsid w:val="00436F6E"/>
    <w:pPr>
      <w:spacing w:before="240" w:after="0" w:line="240" w:lineRule="auto"/>
      <w:jc w:val="both"/>
    </w:pPr>
    <w:rPr>
      <w:rFonts w:eastAsia="Times New Roman" w:cs="Arial"/>
      <w:b/>
      <w:sz w:val="24"/>
      <w:szCs w:val="24"/>
      <w:lang w:eastAsia="cs-CZ"/>
    </w:rPr>
  </w:style>
  <w:style w:type="character" w:customStyle="1" w:styleId="TABOBRChar0">
    <w:name w:val="TAB/OBR Char"/>
    <w:basedOn w:val="Standardnpsmoodstavce"/>
    <w:link w:val="TABOBR0"/>
    <w:rsid w:val="00436F6E"/>
    <w:rPr>
      <w:rFonts w:eastAsia="Times New Roman" w:cs="Arial"/>
      <w:b/>
      <w:sz w:val="24"/>
      <w:szCs w:val="24"/>
      <w:lang w:eastAsia="cs-CZ"/>
    </w:rPr>
  </w:style>
  <w:style w:type="character" w:customStyle="1" w:styleId="OdstavecseseznamemChar">
    <w:name w:val="Odstavec se seznamem Char"/>
    <w:aliases w:val="Odstavec se seznamem a odrážkou Char,1 úroveň Odstavec se seznamem Char,Základní styl odstavce Char,Styl 3 Char"/>
    <w:basedOn w:val="Standardnpsmoodstavce"/>
    <w:link w:val="Odstavecseseznamem"/>
    <w:uiPriority w:val="34"/>
    <w:locked/>
    <w:rsid w:val="00436F6E"/>
    <w:rPr>
      <w:color w:val="1F497D" w:themeColor="text2"/>
      <w:sz w:val="21"/>
    </w:rPr>
  </w:style>
  <w:style w:type="paragraph" w:customStyle="1" w:styleId="OBR">
    <w:name w:val="OBR"/>
    <w:basedOn w:val="TEXT"/>
    <w:link w:val="OBRChar"/>
    <w:qFormat/>
    <w:rsid w:val="00436F6E"/>
    <w:pPr>
      <w:spacing w:after="0" w:line="240" w:lineRule="auto"/>
      <w:ind w:firstLine="0"/>
    </w:pPr>
  </w:style>
  <w:style w:type="paragraph" w:customStyle="1" w:styleId="TEXTzaTAB">
    <w:name w:val="TEXT za TAB"/>
    <w:basedOn w:val="TEXT"/>
    <w:link w:val="TEXTzaTABChar"/>
    <w:rsid w:val="00436F6E"/>
    <w:pPr>
      <w:spacing w:before="240"/>
    </w:pPr>
    <w:rPr>
      <w:spacing w:val="-4"/>
    </w:rPr>
  </w:style>
  <w:style w:type="character" w:customStyle="1" w:styleId="OBRChar">
    <w:name w:val="OBR Char"/>
    <w:basedOn w:val="TEXTChar"/>
    <w:link w:val="OBR"/>
    <w:rsid w:val="00436F6E"/>
    <w:rPr>
      <w:rFonts w:ascii="Times New Roman" w:hAnsi="Times New Roman" w:cs="Times New Roman"/>
      <w:lang w:eastAsia="cs-CZ"/>
    </w:rPr>
  </w:style>
  <w:style w:type="character" w:customStyle="1" w:styleId="TEXTzaTABChar">
    <w:name w:val="TEXT za TAB Char"/>
    <w:basedOn w:val="TEXTChar"/>
    <w:link w:val="TEXTzaTAB"/>
    <w:rsid w:val="00436F6E"/>
    <w:rPr>
      <w:rFonts w:ascii="Times New Roman" w:hAnsi="Times New Roman" w:cs="Times New Roman"/>
      <w:spacing w:val="-4"/>
      <w:lang w:eastAsia="cs-CZ"/>
    </w:rPr>
  </w:style>
  <w:style w:type="paragraph" w:customStyle="1" w:styleId="StylStyl11bZarovnatdoblokuTimesNewRoman">
    <w:name w:val="Styl Styl 11 b. Zarovnat do bloku + Times New Roman"/>
    <w:basedOn w:val="Normln"/>
    <w:link w:val="StylStyl11bZarovnatdoblokuTimesNewRomanChar"/>
    <w:autoRedefine/>
    <w:rsid w:val="00436F6E"/>
    <w:pPr>
      <w:spacing w:before="40" w:after="40" w:line="240" w:lineRule="auto"/>
      <w:jc w:val="both"/>
    </w:pPr>
    <w:rPr>
      <w:rFonts w:ascii="Arial" w:eastAsia="Times New Roman" w:hAnsi="Arial" w:cs="Arial"/>
      <w:color w:val="0070C0"/>
      <w:lang w:eastAsia="x-none"/>
    </w:rPr>
  </w:style>
  <w:style w:type="character" w:customStyle="1" w:styleId="StylStyl11bZarovnatdoblokuTimesNewRomanChar">
    <w:name w:val="Styl Styl 11 b. Zarovnat do bloku + Times New Roman Char"/>
    <w:link w:val="StylStyl11bZarovnatdoblokuTimesNewRoman"/>
    <w:locked/>
    <w:rsid w:val="00436F6E"/>
    <w:rPr>
      <w:rFonts w:ascii="Arial" w:eastAsia="Times New Roman" w:hAnsi="Arial" w:cs="Arial"/>
      <w:color w:val="0070C0"/>
      <w:sz w:val="21"/>
      <w:lang w:eastAsia="x-none"/>
    </w:rPr>
  </w:style>
  <w:style w:type="character" w:customStyle="1" w:styleId="Styl9b">
    <w:name w:val="Styl 9 b."/>
    <w:rsid w:val="00436F6E"/>
    <w:rPr>
      <w:sz w:val="16"/>
    </w:rPr>
  </w:style>
  <w:style w:type="character" w:customStyle="1" w:styleId="Styl11b1">
    <w:name w:val="Styl 11 b.1"/>
    <w:rsid w:val="00436F6E"/>
    <w:rPr>
      <w:color w:val="auto"/>
      <w:sz w:val="22"/>
      <w:szCs w:val="22"/>
    </w:rPr>
  </w:style>
  <w:style w:type="paragraph" w:styleId="Titulek">
    <w:name w:val="caption"/>
    <w:basedOn w:val="Normln"/>
    <w:next w:val="Normln"/>
    <w:uiPriority w:val="35"/>
    <w:unhideWhenUsed/>
    <w:qFormat/>
    <w:rsid w:val="00436F6E"/>
    <w:pPr>
      <w:keepNext/>
      <w:spacing w:after="120" w:line="240" w:lineRule="auto"/>
    </w:pPr>
    <w:rPr>
      <w:rFonts w:ascii="Calibri" w:eastAsiaTheme="minorEastAsia" w:hAnsi="Calibri"/>
      <w:b/>
      <w:bCs/>
      <w:color w:val="1F497D" w:themeColor="text2"/>
      <w:spacing w:val="6"/>
      <w:szCs w:val="21"/>
      <w:lang w:bidi="hi-IN"/>
    </w:rPr>
  </w:style>
  <w:style w:type="paragraph" w:styleId="Podnadpis">
    <w:name w:val="Subtitle"/>
    <w:basedOn w:val="Normln"/>
    <w:next w:val="Normln"/>
    <w:link w:val="PodnadpisChar"/>
    <w:uiPriority w:val="11"/>
    <w:qFormat/>
    <w:rsid w:val="00436F6E"/>
    <w:pPr>
      <w:numPr>
        <w:ilvl w:val="1"/>
      </w:numPr>
    </w:pPr>
    <w:rPr>
      <w:rFonts w:eastAsiaTheme="majorEastAsia" w:cstheme="majorBidi"/>
      <w:iCs/>
      <w:color w:val="1F497D" w:themeColor="text2"/>
      <w:sz w:val="40"/>
      <w:szCs w:val="24"/>
      <w:lang w:bidi="hi-IN"/>
    </w:rPr>
  </w:style>
  <w:style w:type="character" w:customStyle="1" w:styleId="PodnadpisChar">
    <w:name w:val="Podnadpis Char"/>
    <w:basedOn w:val="Standardnpsmoodstavce"/>
    <w:link w:val="Podnadpis"/>
    <w:uiPriority w:val="11"/>
    <w:rsid w:val="00436F6E"/>
    <w:rPr>
      <w:rFonts w:eastAsiaTheme="majorEastAsia" w:cstheme="majorBidi"/>
      <w:iCs/>
      <w:color w:val="1F497D" w:themeColor="text2"/>
      <w:sz w:val="40"/>
      <w:szCs w:val="24"/>
      <w:lang w:bidi="hi-IN"/>
    </w:rPr>
  </w:style>
  <w:style w:type="character" w:styleId="Siln">
    <w:name w:val="Strong"/>
    <w:basedOn w:val="Standardnpsmoodstavce"/>
    <w:uiPriority w:val="22"/>
    <w:qFormat/>
    <w:rsid w:val="00436F6E"/>
    <w:rPr>
      <w:b w:val="0"/>
      <w:bCs/>
      <w:i/>
      <w:color w:val="1F497D" w:themeColor="text2"/>
    </w:rPr>
  </w:style>
  <w:style w:type="character" w:styleId="Zdraznn">
    <w:name w:val="Emphasis"/>
    <w:basedOn w:val="Standardnpsmoodstavce"/>
    <w:uiPriority w:val="20"/>
    <w:qFormat/>
    <w:rsid w:val="00436F6E"/>
    <w:rPr>
      <w:b/>
      <w:i/>
      <w:iCs/>
    </w:rPr>
  </w:style>
  <w:style w:type="paragraph" w:styleId="Bezmezer">
    <w:name w:val="No Spacing"/>
    <w:link w:val="BezmezerChar"/>
    <w:uiPriority w:val="1"/>
    <w:qFormat/>
    <w:rsid w:val="00436F6E"/>
    <w:pPr>
      <w:spacing w:after="0" w:line="240" w:lineRule="auto"/>
    </w:pPr>
  </w:style>
  <w:style w:type="character" w:customStyle="1" w:styleId="BezmezerChar">
    <w:name w:val="Bez mezer Char"/>
    <w:basedOn w:val="Standardnpsmoodstavce"/>
    <w:link w:val="Bezmezer"/>
    <w:uiPriority w:val="1"/>
    <w:rsid w:val="00436F6E"/>
  </w:style>
  <w:style w:type="paragraph" w:styleId="Citt">
    <w:name w:val="Quote"/>
    <w:basedOn w:val="Normln"/>
    <w:next w:val="Normln"/>
    <w:link w:val="CittChar"/>
    <w:uiPriority w:val="29"/>
    <w:qFormat/>
    <w:rsid w:val="00436F6E"/>
    <w:pPr>
      <w:spacing w:after="0" w:line="360" w:lineRule="auto"/>
      <w:jc w:val="center"/>
    </w:pPr>
    <w:rPr>
      <w:rFonts w:eastAsiaTheme="minorEastAsia"/>
      <w:b/>
      <w:i/>
      <w:iCs/>
      <w:color w:val="4F81BD" w:themeColor="accent1"/>
      <w:sz w:val="26"/>
      <w:lang w:bidi="hi-IN"/>
    </w:rPr>
  </w:style>
  <w:style w:type="character" w:customStyle="1" w:styleId="CittChar">
    <w:name w:val="Citát Char"/>
    <w:basedOn w:val="Standardnpsmoodstavce"/>
    <w:link w:val="Citt"/>
    <w:uiPriority w:val="29"/>
    <w:rsid w:val="00436F6E"/>
    <w:rPr>
      <w:rFonts w:eastAsiaTheme="minorEastAsia"/>
      <w:b/>
      <w:i/>
      <w:iCs/>
      <w:color w:val="4F81BD" w:themeColor="accent1"/>
      <w:sz w:val="26"/>
      <w:lang w:bidi="hi-IN"/>
    </w:rPr>
  </w:style>
  <w:style w:type="paragraph" w:styleId="Vrazncitt">
    <w:name w:val="Intense Quote"/>
    <w:basedOn w:val="Normln"/>
    <w:next w:val="Normln"/>
    <w:link w:val="VrazncittChar"/>
    <w:uiPriority w:val="30"/>
    <w:qFormat/>
    <w:rsid w:val="00436F6E"/>
    <w:pPr>
      <w:pBdr>
        <w:top w:val="single" w:sz="36" w:space="8" w:color="4F81BD" w:themeColor="accent1"/>
        <w:left w:val="single" w:sz="36" w:space="8" w:color="4F81BD" w:themeColor="accent1"/>
        <w:bottom w:val="single" w:sz="36" w:space="8" w:color="4F81BD" w:themeColor="accent1"/>
        <w:right w:val="single" w:sz="36" w:space="8" w:color="4F81BD" w:themeColor="accent1"/>
      </w:pBdr>
      <w:shd w:val="clear" w:color="auto" w:fill="4F81BD" w:themeFill="accent1"/>
      <w:spacing w:before="200" w:after="200" w:line="360" w:lineRule="auto"/>
      <w:ind w:left="259" w:right="259"/>
      <w:jc w:val="center"/>
    </w:pPr>
    <w:rPr>
      <w:rFonts w:asciiTheme="majorHAnsi" w:eastAsiaTheme="minorEastAsia" w:hAnsiTheme="majorHAnsi"/>
      <w:bCs/>
      <w:iCs/>
      <w:color w:val="FFFFFF" w:themeColor="background1"/>
      <w:sz w:val="28"/>
      <w:lang w:bidi="hi-IN"/>
    </w:rPr>
  </w:style>
  <w:style w:type="character" w:customStyle="1" w:styleId="VrazncittChar">
    <w:name w:val="Výrazný citát Char"/>
    <w:basedOn w:val="Standardnpsmoodstavce"/>
    <w:link w:val="Vrazncitt"/>
    <w:uiPriority w:val="30"/>
    <w:rsid w:val="00436F6E"/>
    <w:rPr>
      <w:rFonts w:asciiTheme="majorHAnsi" w:eastAsiaTheme="minorEastAsia" w:hAnsiTheme="majorHAnsi"/>
      <w:bCs/>
      <w:iCs/>
      <w:color w:val="FFFFFF" w:themeColor="background1"/>
      <w:sz w:val="28"/>
      <w:shd w:val="clear" w:color="auto" w:fill="4F81BD" w:themeFill="accent1"/>
      <w:lang w:bidi="hi-IN"/>
    </w:rPr>
  </w:style>
  <w:style w:type="character" w:styleId="Zdraznnintenzivn">
    <w:name w:val="Intense Emphasis"/>
    <w:basedOn w:val="Standardnpsmoodstavce"/>
    <w:uiPriority w:val="21"/>
    <w:qFormat/>
    <w:rsid w:val="00436F6E"/>
    <w:rPr>
      <w:b/>
      <w:bCs/>
      <w:i/>
      <w:iCs/>
      <w:color w:val="4F81BD" w:themeColor="accent1"/>
    </w:rPr>
  </w:style>
  <w:style w:type="character" w:styleId="Odkazjemn">
    <w:name w:val="Subtle Reference"/>
    <w:basedOn w:val="Standardnpsmoodstavce"/>
    <w:uiPriority w:val="31"/>
    <w:qFormat/>
    <w:rsid w:val="00436F6E"/>
    <w:rPr>
      <w:smallCaps/>
      <w:color w:val="000000"/>
      <w:u w:val="single"/>
    </w:rPr>
  </w:style>
  <w:style w:type="character" w:styleId="Odkazintenzivn">
    <w:name w:val="Intense Reference"/>
    <w:basedOn w:val="Standardnpsmoodstavce"/>
    <w:uiPriority w:val="32"/>
    <w:qFormat/>
    <w:rsid w:val="00436F6E"/>
    <w:rPr>
      <w:b w:val="0"/>
      <w:bCs/>
      <w:smallCaps/>
      <w:color w:val="4F81BD" w:themeColor="accent1"/>
      <w:spacing w:val="5"/>
      <w:u w:val="single"/>
    </w:rPr>
  </w:style>
  <w:style w:type="character" w:styleId="Nzevknihy">
    <w:name w:val="Book Title"/>
    <w:basedOn w:val="Standardnpsmoodstavce"/>
    <w:uiPriority w:val="33"/>
    <w:qFormat/>
    <w:rsid w:val="00436F6E"/>
    <w:rPr>
      <w:b/>
      <w:bCs/>
      <w:caps/>
      <w:smallCaps w:val="0"/>
      <w:color w:val="1F497D" w:themeColor="text2"/>
      <w:spacing w:val="10"/>
    </w:rPr>
  </w:style>
  <w:style w:type="paragraph" w:styleId="Nadpisobsahu">
    <w:name w:val="TOC Heading"/>
    <w:basedOn w:val="Nadpis1"/>
    <w:next w:val="Normln"/>
    <w:uiPriority w:val="39"/>
    <w:semiHidden/>
    <w:unhideWhenUsed/>
    <w:qFormat/>
    <w:rsid w:val="00436F6E"/>
    <w:pPr>
      <w:spacing w:before="480" w:line="264" w:lineRule="auto"/>
      <w:outlineLvl w:val="9"/>
    </w:pPr>
    <w:rPr>
      <w:b w:val="0"/>
    </w:rPr>
  </w:style>
  <w:style w:type="paragraph" w:styleId="Obsah1">
    <w:name w:val="toc 1"/>
    <w:basedOn w:val="Normln"/>
    <w:next w:val="Normln"/>
    <w:autoRedefine/>
    <w:uiPriority w:val="39"/>
    <w:unhideWhenUsed/>
    <w:rsid w:val="00436F6E"/>
    <w:pPr>
      <w:spacing w:after="100"/>
    </w:pPr>
  </w:style>
  <w:style w:type="paragraph" w:styleId="Obsah2">
    <w:name w:val="toc 2"/>
    <w:basedOn w:val="Normln"/>
    <w:next w:val="Normln"/>
    <w:autoRedefine/>
    <w:uiPriority w:val="39"/>
    <w:unhideWhenUsed/>
    <w:rsid w:val="00436F6E"/>
    <w:pPr>
      <w:spacing w:after="100"/>
      <w:ind w:left="210"/>
    </w:pPr>
  </w:style>
  <w:style w:type="character" w:styleId="Hypertextovodkaz">
    <w:name w:val="Hyperlink"/>
    <w:basedOn w:val="Standardnpsmoodstavce"/>
    <w:uiPriority w:val="99"/>
    <w:unhideWhenUsed/>
    <w:rsid w:val="00436F6E"/>
    <w:rPr>
      <w:color w:val="0000FF" w:themeColor="hyperlink"/>
      <w:u w:val="single"/>
    </w:rPr>
  </w:style>
  <w:style w:type="paragraph" w:styleId="Seznamobrzk">
    <w:name w:val="table of figures"/>
    <w:basedOn w:val="Normln"/>
    <w:next w:val="Normln"/>
    <w:uiPriority w:val="99"/>
    <w:unhideWhenUsed/>
    <w:rsid w:val="00436F6E"/>
    <w:pPr>
      <w:spacing w:after="0"/>
    </w:pPr>
  </w:style>
  <w:style w:type="paragraph" w:styleId="Textvysvtlivek">
    <w:name w:val="endnote text"/>
    <w:basedOn w:val="Normln"/>
    <w:link w:val="TextvysvtlivekChar"/>
    <w:uiPriority w:val="99"/>
    <w:semiHidden/>
    <w:unhideWhenUsed/>
    <w:rsid w:val="00436F6E"/>
    <w:pPr>
      <w:spacing w:after="0" w:line="240" w:lineRule="auto"/>
    </w:pPr>
    <w:rPr>
      <w:sz w:val="20"/>
      <w:szCs w:val="20"/>
    </w:rPr>
  </w:style>
  <w:style w:type="character" w:customStyle="1" w:styleId="TextvysvtlivekChar">
    <w:name w:val="Text vysvětlivek Char"/>
    <w:basedOn w:val="Standardnpsmoodstavce"/>
    <w:link w:val="Textvysvtlivek"/>
    <w:uiPriority w:val="99"/>
    <w:semiHidden/>
    <w:rsid w:val="00436F6E"/>
    <w:rPr>
      <w:sz w:val="20"/>
      <w:szCs w:val="20"/>
    </w:rPr>
  </w:style>
  <w:style w:type="character" w:styleId="Odkaznavysvtlivky">
    <w:name w:val="endnote reference"/>
    <w:basedOn w:val="Standardnpsmoodstavce"/>
    <w:uiPriority w:val="99"/>
    <w:semiHidden/>
    <w:unhideWhenUsed/>
    <w:rsid w:val="00436F6E"/>
    <w:rPr>
      <w:vertAlign w:val="superscript"/>
    </w:rPr>
  </w:style>
  <w:style w:type="paragraph" w:customStyle="1" w:styleId="news2">
    <w:name w:val="news2"/>
    <w:basedOn w:val="Normln"/>
    <w:rsid w:val="00635800"/>
    <w:pPr>
      <w:spacing w:before="30" w:after="30" w:line="336" w:lineRule="auto"/>
      <w:ind w:left="225" w:right="225"/>
    </w:pPr>
    <w:rPr>
      <w:rFonts w:ascii="Times New Roman" w:eastAsia="Times New Roman" w:hAnsi="Times New Roman" w:cs="Times New Roman"/>
      <w:color w:val="000000"/>
      <w:sz w:val="31"/>
      <w:szCs w:val="31"/>
      <w:lang w:eastAsia="cs-CZ"/>
    </w:rPr>
  </w:style>
  <w:style w:type="paragraph" w:styleId="Obsah3">
    <w:name w:val="toc 3"/>
    <w:basedOn w:val="Normln"/>
    <w:next w:val="Normln"/>
    <w:autoRedefine/>
    <w:uiPriority w:val="39"/>
    <w:unhideWhenUsed/>
    <w:rsid w:val="003E1BAF"/>
    <w:pPr>
      <w:spacing w:after="100"/>
      <w:ind w:left="420"/>
    </w:pPr>
  </w:style>
  <w:style w:type="paragraph" w:customStyle="1" w:styleId="TEXTpodTABOBR">
    <w:name w:val="TEXT (pod TAB/OBR)"/>
    <w:basedOn w:val="TEXT"/>
    <w:next w:val="TEXT"/>
    <w:link w:val="TEXTpodTABOBRChar"/>
    <w:qFormat/>
    <w:rsid w:val="00FB53D1"/>
    <w:pPr>
      <w:spacing w:before="360"/>
    </w:pPr>
    <w:rPr>
      <w:rFonts w:cs="Arial"/>
      <w:szCs w:val="24"/>
    </w:rPr>
  </w:style>
  <w:style w:type="character" w:customStyle="1" w:styleId="TEXTpodTABOBRChar">
    <w:name w:val="TEXT (pod TAB/OBR) Char"/>
    <w:basedOn w:val="TEXTChar"/>
    <w:link w:val="TEXTpodTABOBR"/>
    <w:rsid w:val="00FB53D1"/>
    <w:rPr>
      <w:rFonts w:ascii="Times New Roman" w:hAnsi="Times New Roman" w:cs="Arial"/>
      <w:szCs w:val="24"/>
      <w:lang w:eastAsia="cs-CZ"/>
    </w:rPr>
  </w:style>
  <w:style w:type="paragraph" w:styleId="Zkladntextodsazen">
    <w:name w:val="Body Text Indent"/>
    <w:basedOn w:val="Normln"/>
    <w:link w:val="ZkladntextodsazenChar"/>
    <w:uiPriority w:val="99"/>
    <w:semiHidden/>
    <w:unhideWhenUsed/>
    <w:rsid w:val="00DA6B5E"/>
    <w:pPr>
      <w:spacing w:after="120"/>
      <w:ind w:left="283"/>
    </w:pPr>
  </w:style>
  <w:style w:type="character" w:customStyle="1" w:styleId="ZkladntextodsazenChar">
    <w:name w:val="Základní text odsazený Char"/>
    <w:basedOn w:val="Standardnpsmoodstavce"/>
    <w:link w:val="Zkladntextodsazen"/>
    <w:uiPriority w:val="99"/>
    <w:semiHidden/>
    <w:rsid w:val="00DA6B5E"/>
    <w:rPr>
      <w:sz w:val="21"/>
    </w:rPr>
  </w:style>
  <w:style w:type="paragraph" w:styleId="Zkladntextodsazen2">
    <w:name w:val="Body Text Indent 2"/>
    <w:basedOn w:val="Normln"/>
    <w:link w:val="Zkladntextodsazen2Char"/>
    <w:uiPriority w:val="99"/>
    <w:semiHidden/>
    <w:unhideWhenUsed/>
    <w:rsid w:val="00DA6B5E"/>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DA6B5E"/>
    <w:rPr>
      <w:sz w:val="21"/>
    </w:rPr>
  </w:style>
  <w:style w:type="character" w:customStyle="1" w:styleId="h1a">
    <w:name w:val="h1a"/>
    <w:basedOn w:val="Standardnpsmoodstavce"/>
    <w:rsid w:val="00B730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373168">
      <w:bodyDiv w:val="1"/>
      <w:marLeft w:val="0"/>
      <w:marRight w:val="0"/>
      <w:marTop w:val="0"/>
      <w:marBottom w:val="0"/>
      <w:divBdr>
        <w:top w:val="none" w:sz="0" w:space="0" w:color="auto"/>
        <w:left w:val="none" w:sz="0" w:space="0" w:color="auto"/>
        <w:bottom w:val="none" w:sz="0" w:space="0" w:color="auto"/>
        <w:right w:val="none" w:sz="0" w:space="0" w:color="auto"/>
      </w:divBdr>
    </w:div>
    <w:div w:id="97071475">
      <w:bodyDiv w:val="1"/>
      <w:marLeft w:val="0"/>
      <w:marRight w:val="0"/>
      <w:marTop w:val="0"/>
      <w:marBottom w:val="0"/>
      <w:divBdr>
        <w:top w:val="none" w:sz="0" w:space="0" w:color="auto"/>
        <w:left w:val="none" w:sz="0" w:space="0" w:color="auto"/>
        <w:bottom w:val="none" w:sz="0" w:space="0" w:color="auto"/>
        <w:right w:val="none" w:sz="0" w:space="0" w:color="auto"/>
      </w:divBdr>
    </w:div>
    <w:div w:id="150487338">
      <w:bodyDiv w:val="1"/>
      <w:marLeft w:val="0"/>
      <w:marRight w:val="0"/>
      <w:marTop w:val="0"/>
      <w:marBottom w:val="0"/>
      <w:divBdr>
        <w:top w:val="none" w:sz="0" w:space="0" w:color="auto"/>
        <w:left w:val="none" w:sz="0" w:space="0" w:color="auto"/>
        <w:bottom w:val="none" w:sz="0" w:space="0" w:color="auto"/>
        <w:right w:val="none" w:sz="0" w:space="0" w:color="auto"/>
      </w:divBdr>
    </w:div>
    <w:div w:id="174930273">
      <w:bodyDiv w:val="1"/>
      <w:marLeft w:val="0"/>
      <w:marRight w:val="0"/>
      <w:marTop w:val="0"/>
      <w:marBottom w:val="0"/>
      <w:divBdr>
        <w:top w:val="none" w:sz="0" w:space="0" w:color="auto"/>
        <w:left w:val="none" w:sz="0" w:space="0" w:color="auto"/>
        <w:bottom w:val="none" w:sz="0" w:space="0" w:color="auto"/>
        <w:right w:val="none" w:sz="0" w:space="0" w:color="auto"/>
      </w:divBdr>
    </w:div>
    <w:div w:id="207184110">
      <w:bodyDiv w:val="1"/>
      <w:marLeft w:val="0"/>
      <w:marRight w:val="0"/>
      <w:marTop w:val="0"/>
      <w:marBottom w:val="0"/>
      <w:divBdr>
        <w:top w:val="none" w:sz="0" w:space="0" w:color="auto"/>
        <w:left w:val="none" w:sz="0" w:space="0" w:color="auto"/>
        <w:bottom w:val="none" w:sz="0" w:space="0" w:color="auto"/>
        <w:right w:val="none" w:sz="0" w:space="0" w:color="auto"/>
      </w:divBdr>
    </w:div>
    <w:div w:id="253174401">
      <w:bodyDiv w:val="1"/>
      <w:marLeft w:val="0"/>
      <w:marRight w:val="0"/>
      <w:marTop w:val="0"/>
      <w:marBottom w:val="0"/>
      <w:divBdr>
        <w:top w:val="none" w:sz="0" w:space="0" w:color="auto"/>
        <w:left w:val="none" w:sz="0" w:space="0" w:color="auto"/>
        <w:bottom w:val="none" w:sz="0" w:space="0" w:color="auto"/>
        <w:right w:val="none" w:sz="0" w:space="0" w:color="auto"/>
      </w:divBdr>
    </w:div>
    <w:div w:id="260988968">
      <w:bodyDiv w:val="1"/>
      <w:marLeft w:val="0"/>
      <w:marRight w:val="0"/>
      <w:marTop w:val="0"/>
      <w:marBottom w:val="0"/>
      <w:divBdr>
        <w:top w:val="none" w:sz="0" w:space="0" w:color="auto"/>
        <w:left w:val="none" w:sz="0" w:space="0" w:color="auto"/>
        <w:bottom w:val="none" w:sz="0" w:space="0" w:color="auto"/>
        <w:right w:val="none" w:sz="0" w:space="0" w:color="auto"/>
      </w:divBdr>
    </w:div>
    <w:div w:id="275909474">
      <w:bodyDiv w:val="1"/>
      <w:marLeft w:val="0"/>
      <w:marRight w:val="0"/>
      <w:marTop w:val="0"/>
      <w:marBottom w:val="0"/>
      <w:divBdr>
        <w:top w:val="none" w:sz="0" w:space="0" w:color="auto"/>
        <w:left w:val="none" w:sz="0" w:space="0" w:color="auto"/>
        <w:bottom w:val="none" w:sz="0" w:space="0" w:color="auto"/>
        <w:right w:val="none" w:sz="0" w:space="0" w:color="auto"/>
      </w:divBdr>
    </w:div>
    <w:div w:id="317273723">
      <w:bodyDiv w:val="1"/>
      <w:marLeft w:val="0"/>
      <w:marRight w:val="0"/>
      <w:marTop w:val="0"/>
      <w:marBottom w:val="0"/>
      <w:divBdr>
        <w:top w:val="none" w:sz="0" w:space="0" w:color="auto"/>
        <w:left w:val="none" w:sz="0" w:space="0" w:color="auto"/>
        <w:bottom w:val="none" w:sz="0" w:space="0" w:color="auto"/>
        <w:right w:val="none" w:sz="0" w:space="0" w:color="auto"/>
      </w:divBdr>
    </w:div>
    <w:div w:id="334306492">
      <w:bodyDiv w:val="1"/>
      <w:marLeft w:val="0"/>
      <w:marRight w:val="0"/>
      <w:marTop w:val="0"/>
      <w:marBottom w:val="0"/>
      <w:divBdr>
        <w:top w:val="none" w:sz="0" w:space="0" w:color="auto"/>
        <w:left w:val="none" w:sz="0" w:space="0" w:color="auto"/>
        <w:bottom w:val="none" w:sz="0" w:space="0" w:color="auto"/>
        <w:right w:val="none" w:sz="0" w:space="0" w:color="auto"/>
      </w:divBdr>
    </w:div>
    <w:div w:id="345329388">
      <w:bodyDiv w:val="1"/>
      <w:marLeft w:val="0"/>
      <w:marRight w:val="0"/>
      <w:marTop w:val="0"/>
      <w:marBottom w:val="0"/>
      <w:divBdr>
        <w:top w:val="none" w:sz="0" w:space="0" w:color="auto"/>
        <w:left w:val="none" w:sz="0" w:space="0" w:color="auto"/>
        <w:bottom w:val="none" w:sz="0" w:space="0" w:color="auto"/>
        <w:right w:val="none" w:sz="0" w:space="0" w:color="auto"/>
      </w:divBdr>
    </w:div>
    <w:div w:id="351804902">
      <w:bodyDiv w:val="1"/>
      <w:marLeft w:val="0"/>
      <w:marRight w:val="0"/>
      <w:marTop w:val="0"/>
      <w:marBottom w:val="0"/>
      <w:divBdr>
        <w:top w:val="none" w:sz="0" w:space="0" w:color="auto"/>
        <w:left w:val="none" w:sz="0" w:space="0" w:color="auto"/>
        <w:bottom w:val="none" w:sz="0" w:space="0" w:color="auto"/>
        <w:right w:val="none" w:sz="0" w:space="0" w:color="auto"/>
      </w:divBdr>
    </w:div>
    <w:div w:id="354119800">
      <w:bodyDiv w:val="1"/>
      <w:marLeft w:val="0"/>
      <w:marRight w:val="0"/>
      <w:marTop w:val="0"/>
      <w:marBottom w:val="0"/>
      <w:divBdr>
        <w:top w:val="none" w:sz="0" w:space="0" w:color="auto"/>
        <w:left w:val="none" w:sz="0" w:space="0" w:color="auto"/>
        <w:bottom w:val="none" w:sz="0" w:space="0" w:color="auto"/>
        <w:right w:val="none" w:sz="0" w:space="0" w:color="auto"/>
      </w:divBdr>
    </w:div>
    <w:div w:id="379473352">
      <w:bodyDiv w:val="1"/>
      <w:marLeft w:val="0"/>
      <w:marRight w:val="0"/>
      <w:marTop w:val="0"/>
      <w:marBottom w:val="0"/>
      <w:divBdr>
        <w:top w:val="none" w:sz="0" w:space="0" w:color="auto"/>
        <w:left w:val="none" w:sz="0" w:space="0" w:color="auto"/>
        <w:bottom w:val="none" w:sz="0" w:space="0" w:color="auto"/>
        <w:right w:val="none" w:sz="0" w:space="0" w:color="auto"/>
      </w:divBdr>
    </w:div>
    <w:div w:id="380443828">
      <w:bodyDiv w:val="1"/>
      <w:marLeft w:val="0"/>
      <w:marRight w:val="0"/>
      <w:marTop w:val="0"/>
      <w:marBottom w:val="0"/>
      <w:divBdr>
        <w:top w:val="none" w:sz="0" w:space="0" w:color="auto"/>
        <w:left w:val="none" w:sz="0" w:space="0" w:color="auto"/>
        <w:bottom w:val="none" w:sz="0" w:space="0" w:color="auto"/>
        <w:right w:val="none" w:sz="0" w:space="0" w:color="auto"/>
      </w:divBdr>
    </w:div>
    <w:div w:id="402141078">
      <w:bodyDiv w:val="1"/>
      <w:marLeft w:val="0"/>
      <w:marRight w:val="0"/>
      <w:marTop w:val="0"/>
      <w:marBottom w:val="0"/>
      <w:divBdr>
        <w:top w:val="none" w:sz="0" w:space="0" w:color="auto"/>
        <w:left w:val="none" w:sz="0" w:space="0" w:color="auto"/>
        <w:bottom w:val="none" w:sz="0" w:space="0" w:color="auto"/>
        <w:right w:val="none" w:sz="0" w:space="0" w:color="auto"/>
      </w:divBdr>
    </w:div>
    <w:div w:id="503592020">
      <w:bodyDiv w:val="1"/>
      <w:marLeft w:val="0"/>
      <w:marRight w:val="0"/>
      <w:marTop w:val="0"/>
      <w:marBottom w:val="0"/>
      <w:divBdr>
        <w:top w:val="none" w:sz="0" w:space="0" w:color="auto"/>
        <w:left w:val="none" w:sz="0" w:space="0" w:color="auto"/>
        <w:bottom w:val="none" w:sz="0" w:space="0" w:color="auto"/>
        <w:right w:val="none" w:sz="0" w:space="0" w:color="auto"/>
      </w:divBdr>
    </w:div>
    <w:div w:id="597064128">
      <w:bodyDiv w:val="1"/>
      <w:marLeft w:val="0"/>
      <w:marRight w:val="0"/>
      <w:marTop w:val="0"/>
      <w:marBottom w:val="0"/>
      <w:divBdr>
        <w:top w:val="none" w:sz="0" w:space="0" w:color="auto"/>
        <w:left w:val="none" w:sz="0" w:space="0" w:color="auto"/>
        <w:bottom w:val="none" w:sz="0" w:space="0" w:color="auto"/>
        <w:right w:val="none" w:sz="0" w:space="0" w:color="auto"/>
      </w:divBdr>
    </w:div>
    <w:div w:id="601374144">
      <w:bodyDiv w:val="1"/>
      <w:marLeft w:val="0"/>
      <w:marRight w:val="0"/>
      <w:marTop w:val="0"/>
      <w:marBottom w:val="0"/>
      <w:divBdr>
        <w:top w:val="none" w:sz="0" w:space="0" w:color="auto"/>
        <w:left w:val="none" w:sz="0" w:space="0" w:color="auto"/>
        <w:bottom w:val="none" w:sz="0" w:space="0" w:color="auto"/>
        <w:right w:val="none" w:sz="0" w:space="0" w:color="auto"/>
      </w:divBdr>
    </w:div>
    <w:div w:id="618688576">
      <w:bodyDiv w:val="1"/>
      <w:marLeft w:val="0"/>
      <w:marRight w:val="0"/>
      <w:marTop w:val="0"/>
      <w:marBottom w:val="0"/>
      <w:divBdr>
        <w:top w:val="none" w:sz="0" w:space="0" w:color="auto"/>
        <w:left w:val="none" w:sz="0" w:space="0" w:color="auto"/>
        <w:bottom w:val="none" w:sz="0" w:space="0" w:color="auto"/>
        <w:right w:val="none" w:sz="0" w:space="0" w:color="auto"/>
      </w:divBdr>
    </w:div>
    <w:div w:id="671685188">
      <w:bodyDiv w:val="1"/>
      <w:marLeft w:val="0"/>
      <w:marRight w:val="0"/>
      <w:marTop w:val="0"/>
      <w:marBottom w:val="0"/>
      <w:divBdr>
        <w:top w:val="none" w:sz="0" w:space="0" w:color="auto"/>
        <w:left w:val="none" w:sz="0" w:space="0" w:color="auto"/>
        <w:bottom w:val="none" w:sz="0" w:space="0" w:color="auto"/>
        <w:right w:val="none" w:sz="0" w:space="0" w:color="auto"/>
      </w:divBdr>
    </w:div>
    <w:div w:id="691150500">
      <w:bodyDiv w:val="1"/>
      <w:marLeft w:val="0"/>
      <w:marRight w:val="0"/>
      <w:marTop w:val="0"/>
      <w:marBottom w:val="0"/>
      <w:divBdr>
        <w:top w:val="none" w:sz="0" w:space="0" w:color="auto"/>
        <w:left w:val="none" w:sz="0" w:space="0" w:color="auto"/>
        <w:bottom w:val="none" w:sz="0" w:space="0" w:color="auto"/>
        <w:right w:val="none" w:sz="0" w:space="0" w:color="auto"/>
      </w:divBdr>
    </w:div>
    <w:div w:id="701059325">
      <w:bodyDiv w:val="1"/>
      <w:marLeft w:val="0"/>
      <w:marRight w:val="0"/>
      <w:marTop w:val="0"/>
      <w:marBottom w:val="0"/>
      <w:divBdr>
        <w:top w:val="none" w:sz="0" w:space="0" w:color="auto"/>
        <w:left w:val="none" w:sz="0" w:space="0" w:color="auto"/>
        <w:bottom w:val="none" w:sz="0" w:space="0" w:color="auto"/>
        <w:right w:val="none" w:sz="0" w:space="0" w:color="auto"/>
      </w:divBdr>
    </w:div>
    <w:div w:id="710569189">
      <w:bodyDiv w:val="1"/>
      <w:marLeft w:val="0"/>
      <w:marRight w:val="0"/>
      <w:marTop w:val="0"/>
      <w:marBottom w:val="0"/>
      <w:divBdr>
        <w:top w:val="none" w:sz="0" w:space="0" w:color="auto"/>
        <w:left w:val="none" w:sz="0" w:space="0" w:color="auto"/>
        <w:bottom w:val="none" w:sz="0" w:space="0" w:color="auto"/>
        <w:right w:val="none" w:sz="0" w:space="0" w:color="auto"/>
      </w:divBdr>
    </w:div>
    <w:div w:id="713844943">
      <w:bodyDiv w:val="1"/>
      <w:marLeft w:val="0"/>
      <w:marRight w:val="0"/>
      <w:marTop w:val="0"/>
      <w:marBottom w:val="0"/>
      <w:divBdr>
        <w:top w:val="none" w:sz="0" w:space="0" w:color="auto"/>
        <w:left w:val="none" w:sz="0" w:space="0" w:color="auto"/>
        <w:bottom w:val="none" w:sz="0" w:space="0" w:color="auto"/>
        <w:right w:val="none" w:sz="0" w:space="0" w:color="auto"/>
      </w:divBdr>
    </w:div>
    <w:div w:id="771781811">
      <w:bodyDiv w:val="1"/>
      <w:marLeft w:val="0"/>
      <w:marRight w:val="0"/>
      <w:marTop w:val="0"/>
      <w:marBottom w:val="0"/>
      <w:divBdr>
        <w:top w:val="none" w:sz="0" w:space="0" w:color="auto"/>
        <w:left w:val="none" w:sz="0" w:space="0" w:color="auto"/>
        <w:bottom w:val="none" w:sz="0" w:space="0" w:color="auto"/>
        <w:right w:val="none" w:sz="0" w:space="0" w:color="auto"/>
      </w:divBdr>
    </w:div>
    <w:div w:id="784157062">
      <w:bodyDiv w:val="1"/>
      <w:marLeft w:val="0"/>
      <w:marRight w:val="0"/>
      <w:marTop w:val="0"/>
      <w:marBottom w:val="0"/>
      <w:divBdr>
        <w:top w:val="none" w:sz="0" w:space="0" w:color="auto"/>
        <w:left w:val="none" w:sz="0" w:space="0" w:color="auto"/>
        <w:bottom w:val="none" w:sz="0" w:space="0" w:color="auto"/>
        <w:right w:val="none" w:sz="0" w:space="0" w:color="auto"/>
      </w:divBdr>
    </w:div>
    <w:div w:id="789470045">
      <w:bodyDiv w:val="1"/>
      <w:marLeft w:val="0"/>
      <w:marRight w:val="0"/>
      <w:marTop w:val="0"/>
      <w:marBottom w:val="0"/>
      <w:divBdr>
        <w:top w:val="none" w:sz="0" w:space="0" w:color="auto"/>
        <w:left w:val="none" w:sz="0" w:space="0" w:color="auto"/>
        <w:bottom w:val="none" w:sz="0" w:space="0" w:color="auto"/>
        <w:right w:val="none" w:sz="0" w:space="0" w:color="auto"/>
      </w:divBdr>
    </w:div>
    <w:div w:id="825627350">
      <w:bodyDiv w:val="1"/>
      <w:marLeft w:val="0"/>
      <w:marRight w:val="0"/>
      <w:marTop w:val="0"/>
      <w:marBottom w:val="0"/>
      <w:divBdr>
        <w:top w:val="none" w:sz="0" w:space="0" w:color="auto"/>
        <w:left w:val="none" w:sz="0" w:space="0" w:color="auto"/>
        <w:bottom w:val="none" w:sz="0" w:space="0" w:color="auto"/>
        <w:right w:val="none" w:sz="0" w:space="0" w:color="auto"/>
      </w:divBdr>
    </w:div>
    <w:div w:id="832836134">
      <w:bodyDiv w:val="1"/>
      <w:marLeft w:val="0"/>
      <w:marRight w:val="0"/>
      <w:marTop w:val="0"/>
      <w:marBottom w:val="0"/>
      <w:divBdr>
        <w:top w:val="none" w:sz="0" w:space="0" w:color="auto"/>
        <w:left w:val="none" w:sz="0" w:space="0" w:color="auto"/>
        <w:bottom w:val="none" w:sz="0" w:space="0" w:color="auto"/>
        <w:right w:val="none" w:sz="0" w:space="0" w:color="auto"/>
      </w:divBdr>
    </w:div>
    <w:div w:id="836001240">
      <w:bodyDiv w:val="1"/>
      <w:marLeft w:val="0"/>
      <w:marRight w:val="0"/>
      <w:marTop w:val="0"/>
      <w:marBottom w:val="0"/>
      <w:divBdr>
        <w:top w:val="none" w:sz="0" w:space="0" w:color="auto"/>
        <w:left w:val="none" w:sz="0" w:space="0" w:color="auto"/>
        <w:bottom w:val="none" w:sz="0" w:space="0" w:color="auto"/>
        <w:right w:val="none" w:sz="0" w:space="0" w:color="auto"/>
      </w:divBdr>
    </w:div>
    <w:div w:id="882789255">
      <w:bodyDiv w:val="1"/>
      <w:marLeft w:val="0"/>
      <w:marRight w:val="0"/>
      <w:marTop w:val="0"/>
      <w:marBottom w:val="0"/>
      <w:divBdr>
        <w:top w:val="none" w:sz="0" w:space="0" w:color="auto"/>
        <w:left w:val="none" w:sz="0" w:space="0" w:color="auto"/>
        <w:bottom w:val="none" w:sz="0" w:space="0" w:color="auto"/>
        <w:right w:val="none" w:sz="0" w:space="0" w:color="auto"/>
      </w:divBdr>
    </w:div>
    <w:div w:id="912201951">
      <w:bodyDiv w:val="1"/>
      <w:marLeft w:val="0"/>
      <w:marRight w:val="0"/>
      <w:marTop w:val="0"/>
      <w:marBottom w:val="0"/>
      <w:divBdr>
        <w:top w:val="none" w:sz="0" w:space="0" w:color="auto"/>
        <w:left w:val="none" w:sz="0" w:space="0" w:color="auto"/>
        <w:bottom w:val="none" w:sz="0" w:space="0" w:color="auto"/>
        <w:right w:val="none" w:sz="0" w:space="0" w:color="auto"/>
      </w:divBdr>
    </w:div>
    <w:div w:id="917905431">
      <w:bodyDiv w:val="1"/>
      <w:marLeft w:val="0"/>
      <w:marRight w:val="0"/>
      <w:marTop w:val="0"/>
      <w:marBottom w:val="0"/>
      <w:divBdr>
        <w:top w:val="none" w:sz="0" w:space="0" w:color="auto"/>
        <w:left w:val="none" w:sz="0" w:space="0" w:color="auto"/>
        <w:bottom w:val="none" w:sz="0" w:space="0" w:color="auto"/>
        <w:right w:val="none" w:sz="0" w:space="0" w:color="auto"/>
      </w:divBdr>
    </w:div>
    <w:div w:id="925068254">
      <w:bodyDiv w:val="1"/>
      <w:marLeft w:val="0"/>
      <w:marRight w:val="0"/>
      <w:marTop w:val="0"/>
      <w:marBottom w:val="0"/>
      <w:divBdr>
        <w:top w:val="none" w:sz="0" w:space="0" w:color="auto"/>
        <w:left w:val="none" w:sz="0" w:space="0" w:color="auto"/>
        <w:bottom w:val="none" w:sz="0" w:space="0" w:color="auto"/>
        <w:right w:val="none" w:sz="0" w:space="0" w:color="auto"/>
      </w:divBdr>
    </w:div>
    <w:div w:id="982933179">
      <w:bodyDiv w:val="1"/>
      <w:marLeft w:val="0"/>
      <w:marRight w:val="0"/>
      <w:marTop w:val="0"/>
      <w:marBottom w:val="0"/>
      <w:divBdr>
        <w:top w:val="none" w:sz="0" w:space="0" w:color="auto"/>
        <w:left w:val="none" w:sz="0" w:space="0" w:color="auto"/>
        <w:bottom w:val="none" w:sz="0" w:space="0" w:color="auto"/>
        <w:right w:val="none" w:sz="0" w:space="0" w:color="auto"/>
      </w:divBdr>
    </w:div>
    <w:div w:id="985933657">
      <w:bodyDiv w:val="1"/>
      <w:marLeft w:val="0"/>
      <w:marRight w:val="0"/>
      <w:marTop w:val="0"/>
      <w:marBottom w:val="0"/>
      <w:divBdr>
        <w:top w:val="none" w:sz="0" w:space="0" w:color="auto"/>
        <w:left w:val="none" w:sz="0" w:space="0" w:color="auto"/>
        <w:bottom w:val="none" w:sz="0" w:space="0" w:color="auto"/>
        <w:right w:val="none" w:sz="0" w:space="0" w:color="auto"/>
      </w:divBdr>
    </w:div>
    <w:div w:id="1010378368">
      <w:bodyDiv w:val="1"/>
      <w:marLeft w:val="0"/>
      <w:marRight w:val="0"/>
      <w:marTop w:val="0"/>
      <w:marBottom w:val="0"/>
      <w:divBdr>
        <w:top w:val="none" w:sz="0" w:space="0" w:color="auto"/>
        <w:left w:val="none" w:sz="0" w:space="0" w:color="auto"/>
        <w:bottom w:val="none" w:sz="0" w:space="0" w:color="auto"/>
        <w:right w:val="none" w:sz="0" w:space="0" w:color="auto"/>
      </w:divBdr>
    </w:div>
    <w:div w:id="1022827241">
      <w:bodyDiv w:val="1"/>
      <w:marLeft w:val="0"/>
      <w:marRight w:val="0"/>
      <w:marTop w:val="0"/>
      <w:marBottom w:val="0"/>
      <w:divBdr>
        <w:top w:val="none" w:sz="0" w:space="0" w:color="auto"/>
        <w:left w:val="none" w:sz="0" w:space="0" w:color="auto"/>
        <w:bottom w:val="none" w:sz="0" w:space="0" w:color="auto"/>
        <w:right w:val="none" w:sz="0" w:space="0" w:color="auto"/>
      </w:divBdr>
    </w:div>
    <w:div w:id="1058240792">
      <w:bodyDiv w:val="1"/>
      <w:marLeft w:val="0"/>
      <w:marRight w:val="0"/>
      <w:marTop w:val="0"/>
      <w:marBottom w:val="0"/>
      <w:divBdr>
        <w:top w:val="none" w:sz="0" w:space="0" w:color="auto"/>
        <w:left w:val="none" w:sz="0" w:space="0" w:color="auto"/>
        <w:bottom w:val="none" w:sz="0" w:space="0" w:color="auto"/>
        <w:right w:val="none" w:sz="0" w:space="0" w:color="auto"/>
      </w:divBdr>
    </w:div>
    <w:div w:id="1083184630">
      <w:bodyDiv w:val="1"/>
      <w:marLeft w:val="0"/>
      <w:marRight w:val="0"/>
      <w:marTop w:val="0"/>
      <w:marBottom w:val="0"/>
      <w:divBdr>
        <w:top w:val="none" w:sz="0" w:space="0" w:color="auto"/>
        <w:left w:val="none" w:sz="0" w:space="0" w:color="auto"/>
        <w:bottom w:val="none" w:sz="0" w:space="0" w:color="auto"/>
        <w:right w:val="none" w:sz="0" w:space="0" w:color="auto"/>
      </w:divBdr>
    </w:div>
    <w:div w:id="1201554540">
      <w:bodyDiv w:val="1"/>
      <w:marLeft w:val="0"/>
      <w:marRight w:val="0"/>
      <w:marTop w:val="0"/>
      <w:marBottom w:val="0"/>
      <w:divBdr>
        <w:top w:val="none" w:sz="0" w:space="0" w:color="auto"/>
        <w:left w:val="none" w:sz="0" w:space="0" w:color="auto"/>
        <w:bottom w:val="none" w:sz="0" w:space="0" w:color="auto"/>
        <w:right w:val="none" w:sz="0" w:space="0" w:color="auto"/>
      </w:divBdr>
    </w:div>
    <w:div w:id="1216773362">
      <w:bodyDiv w:val="1"/>
      <w:marLeft w:val="0"/>
      <w:marRight w:val="0"/>
      <w:marTop w:val="0"/>
      <w:marBottom w:val="0"/>
      <w:divBdr>
        <w:top w:val="none" w:sz="0" w:space="0" w:color="auto"/>
        <w:left w:val="none" w:sz="0" w:space="0" w:color="auto"/>
        <w:bottom w:val="none" w:sz="0" w:space="0" w:color="auto"/>
        <w:right w:val="none" w:sz="0" w:space="0" w:color="auto"/>
      </w:divBdr>
    </w:div>
    <w:div w:id="1235161283">
      <w:bodyDiv w:val="1"/>
      <w:marLeft w:val="0"/>
      <w:marRight w:val="0"/>
      <w:marTop w:val="0"/>
      <w:marBottom w:val="0"/>
      <w:divBdr>
        <w:top w:val="none" w:sz="0" w:space="0" w:color="auto"/>
        <w:left w:val="none" w:sz="0" w:space="0" w:color="auto"/>
        <w:bottom w:val="none" w:sz="0" w:space="0" w:color="auto"/>
        <w:right w:val="none" w:sz="0" w:space="0" w:color="auto"/>
      </w:divBdr>
    </w:div>
    <w:div w:id="1254439135">
      <w:bodyDiv w:val="1"/>
      <w:marLeft w:val="0"/>
      <w:marRight w:val="0"/>
      <w:marTop w:val="0"/>
      <w:marBottom w:val="0"/>
      <w:divBdr>
        <w:top w:val="none" w:sz="0" w:space="0" w:color="auto"/>
        <w:left w:val="none" w:sz="0" w:space="0" w:color="auto"/>
        <w:bottom w:val="none" w:sz="0" w:space="0" w:color="auto"/>
        <w:right w:val="none" w:sz="0" w:space="0" w:color="auto"/>
      </w:divBdr>
    </w:div>
    <w:div w:id="1254776267">
      <w:bodyDiv w:val="1"/>
      <w:marLeft w:val="0"/>
      <w:marRight w:val="0"/>
      <w:marTop w:val="0"/>
      <w:marBottom w:val="0"/>
      <w:divBdr>
        <w:top w:val="none" w:sz="0" w:space="0" w:color="auto"/>
        <w:left w:val="none" w:sz="0" w:space="0" w:color="auto"/>
        <w:bottom w:val="none" w:sz="0" w:space="0" w:color="auto"/>
        <w:right w:val="none" w:sz="0" w:space="0" w:color="auto"/>
      </w:divBdr>
    </w:div>
    <w:div w:id="1262303457">
      <w:bodyDiv w:val="1"/>
      <w:marLeft w:val="0"/>
      <w:marRight w:val="0"/>
      <w:marTop w:val="0"/>
      <w:marBottom w:val="0"/>
      <w:divBdr>
        <w:top w:val="none" w:sz="0" w:space="0" w:color="auto"/>
        <w:left w:val="none" w:sz="0" w:space="0" w:color="auto"/>
        <w:bottom w:val="none" w:sz="0" w:space="0" w:color="auto"/>
        <w:right w:val="none" w:sz="0" w:space="0" w:color="auto"/>
      </w:divBdr>
    </w:div>
    <w:div w:id="1288969079">
      <w:bodyDiv w:val="1"/>
      <w:marLeft w:val="0"/>
      <w:marRight w:val="0"/>
      <w:marTop w:val="0"/>
      <w:marBottom w:val="0"/>
      <w:divBdr>
        <w:top w:val="none" w:sz="0" w:space="0" w:color="auto"/>
        <w:left w:val="none" w:sz="0" w:space="0" w:color="auto"/>
        <w:bottom w:val="none" w:sz="0" w:space="0" w:color="auto"/>
        <w:right w:val="none" w:sz="0" w:space="0" w:color="auto"/>
      </w:divBdr>
    </w:div>
    <w:div w:id="1348363497">
      <w:bodyDiv w:val="1"/>
      <w:marLeft w:val="0"/>
      <w:marRight w:val="0"/>
      <w:marTop w:val="0"/>
      <w:marBottom w:val="0"/>
      <w:divBdr>
        <w:top w:val="none" w:sz="0" w:space="0" w:color="auto"/>
        <w:left w:val="none" w:sz="0" w:space="0" w:color="auto"/>
        <w:bottom w:val="none" w:sz="0" w:space="0" w:color="auto"/>
        <w:right w:val="none" w:sz="0" w:space="0" w:color="auto"/>
      </w:divBdr>
    </w:div>
    <w:div w:id="1366979502">
      <w:bodyDiv w:val="1"/>
      <w:marLeft w:val="0"/>
      <w:marRight w:val="0"/>
      <w:marTop w:val="0"/>
      <w:marBottom w:val="0"/>
      <w:divBdr>
        <w:top w:val="none" w:sz="0" w:space="0" w:color="auto"/>
        <w:left w:val="none" w:sz="0" w:space="0" w:color="auto"/>
        <w:bottom w:val="none" w:sz="0" w:space="0" w:color="auto"/>
        <w:right w:val="none" w:sz="0" w:space="0" w:color="auto"/>
      </w:divBdr>
    </w:div>
    <w:div w:id="1379280187">
      <w:bodyDiv w:val="1"/>
      <w:marLeft w:val="0"/>
      <w:marRight w:val="0"/>
      <w:marTop w:val="0"/>
      <w:marBottom w:val="0"/>
      <w:divBdr>
        <w:top w:val="none" w:sz="0" w:space="0" w:color="auto"/>
        <w:left w:val="none" w:sz="0" w:space="0" w:color="auto"/>
        <w:bottom w:val="none" w:sz="0" w:space="0" w:color="auto"/>
        <w:right w:val="none" w:sz="0" w:space="0" w:color="auto"/>
      </w:divBdr>
    </w:div>
    <w:div w:id="1390610772">
      <w:bodyDiv w:val="1"/>
      <w:marLeft w:val="0"/>
      <w:marRight w:val="0"/>
      <w:marTop w:val="0"/>
      <w:marBottom w:val="0"/>
      <w:divBdr>
        <w:top w:val="none" w:sz="0" w:space="0" w:color="auto"/>
        <w:left w:val="none" w:sz="0" w:space="0" w:color="auto"/>
        <w:bottom w:val="none" w:sz="0" w:space="0" w:color="auto"/>
        <w:right w:val="none" w:sz="0" w:space="0" w:color="auto"/>
      </w:divBdr>
    </w:div>
    <w:div w:id="1391074922">
      <w:bodyDiv w:val="1"/>
      <w:marLeft w:val="0"/>
      <w:marRight w:val="0"/>
      <w:marTop w:val="0"/>
      <w:marBottom w:val="0"/>
      <w:divBdr>
        <w:top w:val="none" w:sz="0" w:space="0" w:color="auto"/>
        <w:left w:val="none" w:sz="0" w:space="0" w:color="auto"/>
        <w:bottom w:val="none" w:sz="0" w:space="0" w:color="auto"/>
        <w:right w:val="none" w:sz="0" w:space="0" w:color="auto"/>
      </w:divBdr>
    </w:div>
    <w:div w:id="1412773119">
      <w:bodyDiv w:val="1"/>
      <w:marLeft w:val="0"/>
      <w:marRight w:val="0"/>
      <w:marTop w:val="0"/>
      <w:marBottom w:val="0"/>
      <w:divBdr>
        <w:top w:val="none" w:sz="0" w:space="0" w:color="auto"/>
        <w:left w:val="none" w:sz="0" w:space="0" w:color="auto"/>
        <w:bottom w:val="none" w:sz="0" w:space="0" w:color="auto"/>
        <w:right w:val="none" w:sz="0" w:space="0" w:color="auto"/>
      </w:divBdr>
    </w:div>
    <w:div w:id="1417825051">
      <w:bodyDiv w:val="1"/>
      <w:marLeft w:val="0"/>
      <w:marRight w:val="0"/>
      <w:marTop w:val="0"/>
      <w:marBottom w:val="0"/>
      <w:divBdr>
        <w:top w:val="none" w:sz="0" w:space="0" w:color="auto"/>
        <w:left w:val="none" w:sz="0" w:space="0" w:color="auto"/>
        <w:bottom w:val="none" w:sz="0" w:space="0" w:color="auto"/>
        <w:right w:val="none" w:sz="0" w:space="0" w:color="auto"/>
      </w:divBdr>
    </w:div>
    <w:div w:id="1490900092">
      <w:bodyDiv w:val="1"/>
      <w:marLeft w:val="0"/>
      <w:marRight w:val="0"/>
      <w:marTop w:val="0"/>
      <w:marBottom w:val="0"/>
      <w:divBdr>
        <w:top w:val="none" w:sz="0" w:space="0" w:color="auto"/>
        <w:left w:val="none" w:sz="0" w:space="0" w:color="auto"/>
        <w:bottom w:val="none" w:sz="0" w:space="0" w:color="auto"/>
        <w:right w:val="none" w:sz="0" w:space="0" w:color="auto"/>
      </w:divBdr>
    </w:div>
    <w:div w:id="1491025450">
      <w:bodyDiv w:val="1"/>
      <w:marLeft w:val="0"/>
      <w:marRight w:val="0"/>
      <w:marTop w:val="0"/>
      <w:marBottom w:val="0"/>
      <w:divBdr>
        <w:top w:val="none" w:sz="0" w:space="0" w:color="auto"/>
        <w:left w:val="none" w:sz="0" w:space="0" w:color="auto"/>
        <w:bottom w:val="none" w:sz="0" w:space="0" w:color="auto"/>
        <w:right w:val="none" w:sz="0" w:space="0" w:color="auto"/>
      </w:divBdr>
    </w:div>
    <w:div w:id="1491098795">
      <w:bodyDiv w:val="1"/>
      <w:marLeft w:val="0"/>
      <w:marRight w:val="0"/>
      <w:marTop w:val="0"/>
      <w:marBottom w:val="0"/>
      <w:divBdr>
        <w:top w:val="none" w:sz="0" w:space="0" w:color="auto"/>
        <w:left w:val="none" w:sz="0" w:space="0" w:color="auto"/>
        <w:bottom w:val="none" w:sz="0" w:space="0" w:color="auto"/>
        <w:right w:val="none" w:sz="0" w:space="0" w:color="auto"/>
      </w:divBdr>
    </w:div>
    <w:div w:id="1534270809">
      <w:bodyDiv w:val="1"/>
      <w:marLeft w:val="0"/>
      <w:marRight w:val="0"/>
      <w:marTop w:val="0"/>
      <w:marBottom w:val="0"/>
      <w:divBdr>
        <w:top w:val="none" w:sz="0" w:space="0" w:color="auto"/>
        <w:left w:val="none" w:sz="0" w:space="0" w:color="auto"/>
        <w:bottom w:val="none" w:sz="0" w:space="0" w:color="auto"/>
        <w:right w:val="none" w:sz="0" w:space="0" w:color="auto"/>
      </w:divBdr>
    </w:div>
    <w:div w:id="1547720666">
      <w:bodyDiv w:val="1"/>
      <w:marLeft w:val="0"/>
      <w:marRight w:val="0"/>
      <w:marTop w:val="0"/>
      <w:marBottom w:val="0"/>
      <w:divBdr>
        <w:top w:val="none" w:sz="0" w:space="0" w:color="auto"/>
        <w:left w:val="none" w:sz="0" w:space="0" w:color="auto"/>
        <w:bottom w:val="none" w:sz="0" w:space="0" w:color="auto"/>
        <w:right w:val="none" w:sz="0" w:space="0" w:color="auto"/>
      </w:divBdr>
    </w:div>
    <w:div w:id="1597440339">
      <w:bodyDiv w:val="1"/>
      <w:marLeft w:val="0"/>
      <w:marRight w:val="0"/>
      <w:marTop w:val="0"/>
      <w:marBottom w:val="0"/>
      <w:divBdr>
        <w:top w:val="none" w:sz="0" w:space="0" w:color="auto"/>
        <w:left w:val="none" w:sz="0" w:space="0" w:color="auto"/>
        <w:bottom w:val="none" w:sz="0" w:space="0" w:color="auto"/>
        <w:right w:val="none" w:sz="0" w:space="0" w:color="auto"/>
      </w:divBdr>
    </w:div>
    <w:div w:id="1614898696">
      <w:bodyDiv w:val="1"/>
      <w:marLeft w:val="0"/>
      <w:marRight w:val="0"/>
      <w:marTop w:val="0"/>
      <w:marBottom w:val="0"/>
      <w:divBdr>
        <w:top w:val="none" w:sz="0" w:space="0" w:color="auto"/>
        <w:left w:val="none" w:sz="0" w:space="0" w:color="auto"/>
        <w:bottom w:val="none" w:sz="0" w:space="0" w:color="auto"/>
        <w:right w:val="none" w:sz="0" w:space="0" w:color="auto"/>
      </w:divBdr>
    </w:div>
    <w:div w:id="1625650326">
      <w:bodyDiv w:val="1"/>
      <w:marLeft w:val="0"/>
      <w:marRight w:val="0"/>
      <w:marTop w:val="0"/>
      <w:marBottom w:val="0"/>
      <w:divBdr>
        <w:top w:val="none" w:sz="0" w:space="0" w:color="auto"/>
        <w:left w:val="none" w:sz="0" w:space="0" w:color="auto"/>
        <w:bottom w:val="none" w:sz="0" w:space="0" w:color="auto"/>
        <w:right w:val="none" w:sz="0" w:space="0" w:color="auto"/>
      </w:divBdr>
    </w:div>
    <w:div w:id="1627740455">
      <w:bodyDiv w:val="1"/>
      <w:marLeft w:val="0"/>
      <w:marRight w:val="0"/>
      <w:marTop w:val="0"/>
      <w:marBottom w:val="0"/>
      <w:divBdr>
        <w:top w:val="none" w:sz="0" w:space="0" w:color="auto"/>
        <w:left w:val="none" w:sz="0" w:space="0" w:color="auto"/>
        <w:bottom w:val="none" w:sz="0" w:space="0" w:color="auto"/>
        <w:right w:val="none" w:sz="0" w:space="0" w:color="auto"/>
      </w:divBdr>
    </w:div>
    <w:div w:id="1659385419">
      <w:bodyDiv w:val="1"/>
      <w:marLeft w:val="0"/>
      <w:marRight w:val="0"/>
      <w:marTop w:val="0"/>
      <w:marBottom w:val="0"/>
      <w:divBdr>
        <w:top w:val="none" w:sz="0" w:space="0" w:color="auto"/>
        <w:left w:val="none" w:sz="0" w:space="0" w:color="auto"/>
        <w:bottom w:val="none" w:sz="0" w:space="0" w:color="auto"/>
        <w:right w:val="none" w:sz="0" w:space="0" w:color="auto"/>
      </w:divBdr>
    </w:div>
    <w:div w:id="1662197265">
      <w:bodyDiv w:val="1"/>
      <w:marLeft w:val="0"/>
      <w:marRight w:val="0"/>
      <w:marTop w:val="0"/>
      <w:marBottom w:val="0"/>
      <w:divBdr>
        <w:top w:val="none" w:sz="0" w:space="0" w:color="auto"/>
        <w:left w:val="none" w:sz="0" w:space="0" w:color="auto"/>
        <w:bottom w:val="none" w:sz="0" w:space="0" w:color="auto"/>
        <w:right w:val="none" w:sz="0" w:space="0" w:color="auto"/>
      </w:divBdr>
    </w:div>
    <w:div w:id="1668053150">
      <w:bodyDiv w:val="1"/>
      <w:marLeft w:val="0"/>
      <w:marRight w:val="0"/>
      <w:marTop w:val="0"/>
      <w:marBottom w:val="0"/>
      <w:divBdr>
        <w:top w:val="none" w:sz="0" w:space="0" w:color="auto"/>
        <w:left w:val="none" w:sz="0" w:space="0" w:color="auto"/>
        <w:bottom w:val="none" w:sz="0" w:space="0" w:color="auto"/>
        <w:right w:val="none" w:sz="0" w:space="0" w:color="auto"/>
      </w:divBdr>
    </w:div>
    <w:div w:id="1675109229">
      <w:bodyDiv w:val="1"/>
      <w:marLeft w:val="0"/>
      <w:marRight w:val="0"/>
      <w:marTop w:val="0"/>
      <w:marBottom w:val="0"/>
      <w:divBdr>
        <w:top w:val="none" w:sz="0" w:space="0" w:color="auto"/>
        <w:left w:val="none" w:sz="0" w:space="0" w:color="auto"/>
        <w:bottom w:val="none" w:sz="0" w:space="0" w:color="auto"/>
        <w:right w:val="none" w:sz="0" w:space="0" w:color="auto"/>
      </w:divBdr>
    </w:div>
    <w:div w:id="1684475366">
      <w:bodyDiv w:val="1"/>
      <w:marLeft w:val="0"/>
      <w:marRight w:val="0"/>
      <w:marTop w:val="0"/>
      <w:marBottom w:val="0"/>
      <w:divBdr>
        <w:top w:val="none" w:sz="0" w:space="0" w:color="auto"/>
        <w:left w:val="none" w:sz="0" w:space="0" w:color="auto"/>
        <w:bottom w:val="none" w:sz="0" w:space="0" w:color="auto"/>
        <w:right w:val="none" w:sz="0" w:space="0" w:color="auto"/>
      </w:divBdr>
    </w:div>
    <w:div w:id="1690138687">
      <w:bodyDiv w:val="1"/>
      <w:marLeft w:val="0"/>
      <w:marRight w:val="0"/>
      <w:marTop w:val="0"/>
      <w:marBottom w:val="0"/>
      <w:divBdr>
        <w:top w:val="none" w:sz="0" w:space="0" w:color="auto"/>
        <w:left w:val="none" w:sz="0" w:space="0" w:color="auto"/>
        <w:bottom w:val="none" w:sz="0" w:space="0" w:color="auto"/>
        <w:right w:val="none" w:sz="0" w:space="0" w:color="auto"/>
      </w:divBdr>
    </w:div>
    <w:div w:id="1698850910">
      <w:bodyDiv w:val="1"/>
      <w:marLeft w:val="0"/>
      <w:marRight w:val="0"/>
      <w:marTop w:val="0"/>
      <w:marBottom w:val="0"/>
      <w:divBdr>
        <w:top w:val="none" w:sz="0" w:space="0" w:color="auto"/>
        <w:left w:val="none" w:sz="0" w:space="0" w:color="auto"/>
        <w:bottom w:val="none" w:sz="0" w:space="0" w:color="auto"/>
        <w:right w:val="none" w:sz="0" w:space="0" w:color="auto"/>
      </w:divBdr>
    </w:div>
    <w:div w:id="1733886252">
      <w:bodyDiv w:val="1"/>
      <w:marLeft w:val="0"/>
      <w:marRight w:val="0"/>
      <w:marTop w:val="0"/>
      <w:marBottom w:val="0"/>
      <w:divBdr>
        <w:top w:val="none" w:sz="0" w:space="0" w:color="auto"/>
        <w:left w:val="none" w:sz="0" w:space="0" w:color="auto"/>
        <w:bottom w:val="none" w:sz="0" w:space="0" w:color="auto"/>
        <w:right w:val="none" w:sz="0" w:space="0" w:color="auto"/>
      </w:divBdr>
    </w:div>
    <w:div w:id="1743216884">
      <w:bodyDiv w:val="1"/>
      <w:marLeft w:val="0"/>
      <w:marRight w:val="0"/>
      <w:marTop w:val="0"/>
      <w:marBottom w:val="0"/>
      <w:divBdr>
        <w:top w:val="none" w:sz="0" w:space="0" w:color="auto"/>
        <w:left w:val="none" w:sz="0" w:space="0" w:color="auto"/>
        <w:bottom w:val="none" w:sz="0" w:space="0" w:color="auto"/>
        <w:right w:val="none" w:sz="0" w:space="0" w:color="auto"/>
      </w:divBdr>
    </w:div>
    <w:div w:id="1834249111">
      <w:bodyDiv w:val="1"/>
      <w:marLeft w:val="0"/>
      <w:marRight w:val="0"/>
      <w:marTop w:val="0"/>
      <w:marBottom w:val="0"/>
      <w:divBdr>
        <w:top w:val="none" w:sz="0" w:space="0" w:color="auto"/>
        <w:left w:val="none" w:sz="0" w:space="0" w:color="auto"/>
        <w:bottom w:val="none" w:sz="0" w:space="0" w:color="auto"/>
        <w:right w:val="none" w:sz="0" w:space="0" w:color="auto"/>
      </w:divBdr>
    </w:div>
    <w:div w:id="1852913312">
      <w:bodyDiv w:val="1"/>
      <w:marLeft w:val="0"/>
      <w:marRight w:val="0"/>
      <w:marTop w:val="0"/>
      <w:marBottom w:val="0"/>
      <w:divBdr>
        <w:top w:val="none" w:sz="0" w:space="0" w:color="auto"/>
        <w:left w:val="none" w:sz="0" w:space="0" w:color="auto"/>
        <w:bottom w:val="none" w:sz="0" w:space="0" w:color="auto"/>
        <w:right w:val="none" w:sz="0" w:space="0" w:color="auto"/>
      </w:divBdr>
    </w:div>
    <w:div w:id="1865438905">
      <w:bodyDiv w:val="1"/>
      <w:marLeft w:val="0"/>
      <w:marRight w:val="0"/>
      <w:marTop w:val="0"/>
      <w:marBottom w:val="0"/>
      <w:divBdr>
        <w:top w:val="none" w:sz="0" w:space="0" w:color="auto"/>
        <w:left w:val="none" w:sz="0" w:space="0" w:color="auto"/>
        <w:bottom w:val="none" w:sz="0" w:space="0" w:color="auto"/>
        <w:right w:val="none" w:sz="0" w:space="0" w:color="auto"/>
      </w:divBdr>
    </w:div>
    <w:div w:id="1882206485">
      <w:bodyDiv w:val="1"/>
      <w:marLeft w:val="0"/>
      <w:marRight w:val="0"/>
      <w:marTop w:val="0"/>
      <w:marBottom w:val="0"/>
      <w:divBdr>
        <w:top w:val="none" w:sz="0" w:space="0" w:color="auto"/>
        <w:left w:val="none" w:sz="0" w:space="0" w:color="auto"/>
        <w:bottom w:val="none" w:sz="0" w:space="0" w:color="auto"/>
        <w:right w:val="none" w:sz="0" w:space="0" w:color="auto"/>
      </w:divBdr>
    </w:div>
    <w:div w:id="1882285733">
      <w:bodyDiv w:val="1"/>
      <w:marLeft w:val="0"/>
      <w:marRight w:val="0"/>
      <w:marTop w:val="0"/>
      <w:marBottom w:val="0"/>
      <w:divBdr>
        <w:top w:val="none" w:sz="0" w:space="0" w:color="auto"/>
        <w:left w:val="none" w:sz="0" w:space="0" w:color="auto"/>
        <w:bottom w:val="none" w:sz="0" w:space="0" w:color="auto"/>
        <w:right w:val="none" w:sz="0" w:space="0" w:color="auto"/>
      </w:divBdr>
    </w:div>
    <w:div w:id="1886521417">
      <w:bodyDiv w:val="1"/>
      <w:marLeft w:val="0"/>
      <w:marRight w:val="0"/>
      <w:marTop w:val="0"/>
      <w:marBottom w:val="0"/>
      <w:divBdr>
        <w:top w:val="none" w:sz="0" w:space="0" w:color="auto"/>
        <w:left w:val="none" w:sz="0" w:space="0" w:color="auto"/>
        <w:bottom w:val="none" w:sz="0" w:space="0" w:color="auto"/>
        <w:right w:val="none" w:sz="0" w:space="0" w:color="auto"/>
      </w:divBdr>
    </w:div>
    <w:div w:id="1906599435">
      <w:bodyDiv w:val="1"/>
      <w:marLeft w:val="0"/>
      <w:marRight w:val="0"/>
      <w:marTop w:val="0"/>
      <w:marBottom w:val="0"/>
      <w:divBdr>
        <w:top w:val="none" w:sz="0" w:space="0" w:color="auto"/>
        <w:left w:val="none" w:sz="0" w:space="0" w:color="auto"/>
        <w:bottom w:val="none" w:sz="0" w:space="0" w:color="auto"/>
        <w:right w:val="none" w:sz="0" w:space="0" w:color="auto"/>
      </w:divBdr>
    </w:div>
    <w:div w:id="1923878661">
      <w:bodyDiv w:val="1"/>
      <w:marLeft w:val="0"/>
      <w:marRight w:val="0"/>
      <w:marTop w:val="0"/>
      <w:marBottom w:val="0"/>
      <w:divBdr>
        <w:top w:val="none" w:sz="0" w:space="0" w:color="auto"/>
        <w:left w:val="none" w:sz="0" w:space="0" w:color="auto"/>
        <w:bottom w:val="none" w:sz="0" w:space="0" w:color="auto"/>
        <w:right w:val="none" w:sz="0" w:space="0" w:color="auto"/>
      </w:divBdr>
    </w:div>
    <w:div w:id="1926642530">
      <w:bodyDiv w:val="1"/>
      <w:marLeft w:val="0"/>
      <w:marRight w:val="0"/>
      <w:marTop w:val="0"/>
      <w:marBottom w:val="0"/>
      <w:divBdr>
        <w:top w:val="none" w:sz="0" w:space="0" w:color="auto"/>
        <w:left w:val="none" w:sz="0" w:space="0" w:color="auto"/>
        <w:bottom w:val="none" w:sz="0" w:space="0" w:color="auto"/>
        <w:right w:val="none" w:sz="0" w:space="0" w:color="auto"/>
      </w:divBdr>
    </w:div>
    <w:div w:id="20594348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chart" Target="charts/chart2.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1.xm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chart" Target="charts/chart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hart" Target="charts/chart7.xml"/><Relationship Id="rId10" Type="http://schemas.openxmlformats.org/officeDocument/2006/relationships/image" Target="media/image3.emf"/><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hart" Target="charts/chart6.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13135\Desktop\ZDR\VZ2018-23\2023\Tabulkov&#225;_&#269;&#225;st_2023_VZfinal.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mzsfps01.mzcr.cz\Odbory\dzp\szp\Szp1\_VZ_V&#253;ro&#269;n&#237;%20zpr&#225;vy\VZ_2023\hodnocen&#237;\vz2022_hodnocen&#237;_tabulky%20a%20grafy.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mzsfps01.mzcr.cz\Odbory\dzp\szp\Szp1\_VZ_V&#253;ro&#269;n&#237;%20zpr&#225;vy\VZ_2023\hodnocen&#237;\vz2022_hodnocen&#237;_tabulky%20a%20grafy.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mzsfps01.mzcr.cz\Odbory\dzp\szp\Szp1\_VZ_V&#253;ro&#269;n&#237;%20zpr&#225;vy\VZ_2023\hodnocen&#237;\vz2022_hodnocen&#237;_tabulky%20a%20grafy.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mzsfps01.mzcr.cz\Odbory\dzp\szp\Szp1\_VZ_V&#253;ro&#269;n&#237;%20zpr&#225;vy\VZ_2023\hodnocen&#237;\vz2022_hodnocen&#237;_tabulky%20a%20graf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Lbls>
            <c:dLbl>
              <c:idx val="1"/>
              <c:layout>
                <c:manualLayout>
                  <c:x val="0"/>
                  <c:y val="2.143622722400857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7AE-437F-98F6-88DF999F9BA1}"/>
                </c:ext>
              </c:extLst>
            </c:dLbl>
            <c:dLbl>
              <c:idx val="3"/>
              <c:layout>
                <c:manualLayout>
                  <c:x val="-2.2002200220022004E-2"/>
                  <c:y val="1.714898177920685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7AE-437F-98F6-88DF999F9BA1}"/>
                </c:ext>
              </c:extLst>
            </c:dLbl>
            <c:dLbl>
              <c:idx val="5"/>
              <c:layout>
                <c:manualLayout>
                  <c:x val="8.8008800880087605E-3"/>
                  <c:y val="-1.286173633440514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E7AE-437F-98F6-88DF999F9BA1}"/>
                </c:ext>
              </c:extLst>
            </c:dLbl>
            <c:numFmt formatCode="0.0%" sourceLinked="0"/>
            <c:spPr>
              <a:noFill/>
              <a:ln>
                <a:noFill/>
              </a:ln>
              <a:effectLst/>
            </c:spPr>
            <c:dLblPos val="outEnd"/>
            <c:showLegendKey val="0"/>
            <c:showVal val="0"/>
            <c:showCatName val="1"/>
            <c:showSerName val="0"/>
            <c:showPercent val="1"/>
            <c:showBubbleSize val="0"/>
            <c:showLeaderLines val="1"/>
            <c:extLst>
              <c:ext xmlns:c15="http://schemas.microsoft.com/office/drawing/2012/chart" uri="{CE6537A1-D6FC-4f65-9D91-7224C49458BB}"/>
            </c:extLst>
          </c:dLbls>
          <c:cat>
            <c:strRef>
              <c:f>'OBR 8 OBR 9'!$O$6:$O$12</c:f>
              <c:strCache>
                <c:ptCount val="7"/>
                <c:pt idx="0">
                  <c:v>VZP ČR</c:v>
                </c:pt>
                <c:pt idx="1">
                  <c:v>VoZP ČR</c:v>
                </c:pt>
                <c:pt idx="2">
                  <c:v>ČPZP</c:v>
                </c:pt>
                <c:pt idx="3">
                  <c:v>OZP</c:v>
                </c:pt>
                <c:pt idx="4">
                  <c:v>ZPŠ</c:v>
                </c:pt>
                <c:pt idx="5">
                  <c:v>ZP MV ČR</c:v>
                </c:pt>
                <c:pt idx="6">
                  <c:v>RBP</c:v>
                </c:pt>
              </c:strCache>
            </c:strRef>
          </c:cat>
          <c:val>
            <c:numRef>
              <c:f>'OBR 8 OBR 9'!$Q$6:$Q$12</c:f>
              <c:numCache>
                <c:formatCode>0.0%</c:formatCode>
                <c:ptCount val="7"/>
                <c:pt idx="0">
                  <c:v>0.70131059254970862</c:v>
                </c:pt>
                <c:pt idx="1">
                  <c:v>1.5348445407419926E-2</c:v>
                </c:pt>
                <c:pt idx="2">
                  <c:v>8.4089885530583774E-2</c:v>
                </c:pt>
                <c:pt idx="3">
                  <c:v>5.4624006263423286E-2</c:v>
                </c:pt>
                <c:pt idx="4">
                  <c:v>1.2625790589685567E-2</c:v>
                </c:pt>
                <c:pt idx="5">
                  <c:v>0.10167313245322251</c:v>
                </c:pt>
                <c:pt idx="6">
                  <c:v>3.0328147205956373E-2</c:v>
                </c:pt>
              </c:numCache>
            </c:numRef>
          </c:val>
          <c:extLst>
            <c:ext xmlns:c16="http://schemas.microsoft.com/office/drawing/2014/chart" uri="{C3380CC4-5D6E-409C-BE32-E72D297353CC}">
              <c16:uniqueId val="{00000000-E7AE-437F-98F6-88DF999F9BA1}"/>
            </c:ext>
          </c:extLst>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449895389316695E-2"/>
          <c:y val="0.12271022860099851"/>
          <c:w val="0.88277943206382559"/>
          <c:h val="0.77435545549601947"/>
        </c:manualLayout>
      </c:layout>
      <c:lineChart>
        <c:grouping val="standard"/>
        <c:varyColors val="0"/>
        <c:ser>
          <c:idx val="0"/>
          <c:order val="0"/>
          <c:tx>
            <c:strRef>
              <c:f>'OBR 7 OBR 10'!$B$64</c:f>
              <c:strCache>
                <c:ptCount val="1"/>
                <c:pt idx="0">
                  <c:v>Podíl zůstatků na účtech ZP na výdajích v daném roce</c:v>
                </c:pt>
              </c:strCache>
            </c:strRef>
          </c:tx>
          <c:spPr>
            <a:ln>
              <a:solidFill>
                <a:schemeClr val="accent2"/>
              </a:solidFill>
            </a:ln>
          </c:spPr>
          <c:marker>
            <c:symbol val="circle"/>
            <c:size val="7"/>
            <c:spPr>
              <a:solidFill>
                <a:schemeClr val="bg1"/>
              </a:solidFill>
              <a:ln w="28575">
                <a:solidFill>
                  <a:schemeClr val="accent2"/>
                </a:solidFill>
              </a:ln>
            </c:spPr>
          </c:marker>
          <c:cat>
            <c:numRef>
              <c:f>'OBR 7 OBR 10'!$A$65:$A$84</c:f>
              <c:numCache>
                <c:formatCode>General</c:formatCode>
                <c:ptCount val="20"/>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pt idx="15">
                  <c:v>2019</c:v>
                </c:pt>
                <c:pt idx="16">
                  <c:v>2020</c:v>
                </c:pt>
                <c:pt idx="17">
                  <c:v>2021</c:v>
                </c:pt>
                <c:pt idx="18">
                  <c:v>2022</c:v>
                </c:pt>
                <c:pt idx="19">
                  <c:v>2023</c:v>
                </c:pt>
              </c:numCache>
            </c:numRef>
          </c:cat>
          <c:val>
            <c:numRef>
              <c:f>'OBR 7 OBR 10'!$B$65:$B$84</c:f>
              <c:numCache>
                <c:formatCode>0.00%</c:formatCode>
                <c:ptCount val="20"/>
                <c:pt idx="0">
                  <c:v>42.557074828615654</c:v>
                </c:pt>
                <c:pt idx="1">
                  <c:v>41.905887353910295</c:v>
                </c:pt>
                <c:pt idx="2">
                  <c:v>54.224057762150998</c:v>
                </c:pt>
                <c:pt idx="3">
                  <c:v>144.90712349335621</c:v>
                </c:pt>
                <c:pt idx="4">
                  <c:v>188.15469344268607</c:v>
                </c:pt>
                <c:pt idx="5">
                  <c:v>143.16211227784572</c:v>
                </c:pt>
                <c:pt idx="6">
                  <c:v>109.75144895949929</c:v>
                </c:pt>
                <c:pt idx="7">
                  <c:v>64.135126121681139</c:v>
                </c:pt>
                <c:pt idx="8">
                  <c:v>56.614023860940442</c:v>
                </c:pt>
                <c:pt idx="9">
                  <c:v>58.408908272497229</c:v>
                </c:pt>
                <c:pt idx="10">
                  <c:v>63.355088502559148</c:v>
                </c:pt>
                <c:pt idx="11">
                  <c:v>60.905689861602077</c:v>
                </c:pt>
                <c:pt idx="12">
                  <c:v>80.458973857296257</c:v>
                </c:pt>
                <c:pt idx="13">
                  <c:v>110.86243008979093</c:v>
                </c:pt>
                <c:pt idx="14">
                  <c:v>152.60476513617894</c:v>
                </c:pt>
                <c:pt idx="15">
                  <c:v>184.16732555744574</c:v>
                </c:pt>
                <c:pt idx="16">
                  <c:v>182.78704453785235</c:v>
                </c:pt>
                <c:pt idx="17">
                  <c:v>123.48450105353541</c:v>
                </c:pt>
                <c:pt idx="18">
                  <c:v>132.88167375721605</c:v>
                </c:pt>
                <c:pt idx="19">
                  <c:v>117.63515097796895</c:v>
                </c:pt>
              </c:numCache>
            </c:numRef>
          </c:val>
          <c:smooth val="0"/>
          <c:extLst>
            <c:ext xmlns:c16="http://schemas.microsoft.com/office/drawing/2014/chart" uri="{C3380CC4-5D6E-409C-BE32-E72D297353CC}">
              <c16:uniqueId val="{00000000-0EDE-4FD2-B8E8-9CD0784BD323}"/>
            </c:ext>
          </c:extLst>
        </c:ser>
        <c:ser>
          <c:idx val="1"/>
          <c:order val="1"/>
          <c:tx>
            <c:strRef>
              <c:f>'OBR 7 OBR 10'!$C$64</c:f>
              <c:strCache>
                <c:ptCount val="1"/>
                <c:pt idx="0">
                  <c:v>Růst reálného HDP</c:v>
                </c:pt>
              </c:strCache>
            </c:strRef>
          </c:tx>
          <c:spPr>
            <a:ln>
              <a:solidFill>
                <a:schemeClr val="accent1"/>
              </a:solidFill>
            </a:ln>
          </c:spPr>
          <c:marker>
            <c:symbol val="circle"/>
            <c:size val="7"/>
            <c:spPr>
              <a:solidFill>
                <a:schemeClr val="bg1"/>
              </a:solidFill>
              <a:ln w="28575">
                <a:solidFill>
                  <a:schemeClr val="accent1"/>
                </a:solidFill>
              </a:ln>
            </c:spPr>
          </c:marker>
          <c:cat>
            <c:numRef>
              <c:f>'OBR 7 OBR 10'!$A$65:$A$84</c:f>
              <c:numCache>
                <c:formatCode>General</c:formatCode>
                <c:ptCount val="20"/>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pt idx="14">
                  <c:v>2018</c:v>
                </c:pt>
                <c:pt idx="15">
                  <c:v>2019</c:v>
                </c:pt>
                <c:pt idx="16">
                  <c:v>2020</c:v>
                </c:pt>
                <c:pt idx="17">
                  <c:v>2021</c:v>
                </c:pt>
                <c:pt idx="18">
                  <c:v>2022</c:v>
                </c:pt>
                <c:pt idx="19">
                  <c:v>2023</c:v>
                </c:pt>
              </c:numCache>
            </c:numRef>
          </c:cat>
          <c:val>
            <c:numRef>
              <c:f>'OBR 7 OBR 10'!$C$65:$C$84</c:f>
              <c:numCache>
                <c:formatCode>0.00%</c:formatCode>
                <c:ptCount val="20"/>
                <c:pt idx="0">
                  <c:v>48</c:v>
                </c:pt>
                <c:pt idx="1">
                  <c:v>66</c:v>
                </c:pt>
                <c:pt idx="2">
                  <c:v>68</c:v>
                </c:pt>
                <c:pt idx="3">
                  <c:v>55.999999999999993</c:v>
                </c:pt>
                <c:pt idx="4">
                  <c:v>27.000000000000004</c:v>
                </c:pt>
                <c:pt idx="5">
                  <c:v>-47</c:v>
                </c:pt>
                <c:pt idx="6">
                  <c:v>24</c:v>
                </c:pt>
                <c:pt idx="7">
                  <c:v>18.000000000000004</c:v>
                </c:pt>
                <c:pt idx="8">
                  <c:v>-8</c:v>
                </c:pt>
                <c:pt idx="9">
                  <c:v>0</c:v>
                </c:pt>
                <c:pt idx="10">
                  <c:v>23</c:v>
                </c:pt>
                <c:pt idx="11">
                  <c:v>54.000000000000007</c:v>
                </c:pt>
                <c:pt idx="12">
                  <c:v>25</c:v>
                </c:pt>
                <c:pt idx="13">
                  <c:v>52.000000000000007</c:v>
                </c:pt>
                <c:pt idx="14">
                  <c:v>32</c:v>
                </c:pt>
                <c:pt idx="15">
                  <c:v>30</c:v>
                </c:pt>
                <c:pt idx="16">
                  <c:v>-55</c:v>
                </c:pt>
                <c:pt idx="17">
                  <c:v>36.000000000000007</c:v>
                </c:pt>
                <c:pt idx="18">
                  <c:v>25</c:v>
                </c:pt>
                <c:pt idx="19">
                  <c:v>5</c:v>
                </c:pt>
              </c:numCache>
            </c:numRef>
          </c:val>
          <c:smooth val="0"/>
          <c:extLst>
            <c:ext xmlns:c16="http://schemas.microsoft.com/office/drawing/2014/chart" uri="{C3380CC4-5D6E-409C-BE32-E72D297353CC}">
              <c16:uniqueId val="{00000001-0EDE-4FD2-B8E8-9CD0784BD323}"/>
            </c:ext>
          </c:extLst>
        </c:ser>
        <c:dLbls>
          <c:showLegendKey val="0"/>
          <c:showVal val="0"/>
          <c:showCatName val="0"/>
          <c:showSerName val="0"/>
          <c:showPercent val="0"/>
          <c:showBubbleSize val="0"/>
        </c:dLbls>
        <c:marker val="1"/>
        <c:smooth val="0"/>
        <c:axId val="116166016"/>
        <c:axId val="116172288"/>
      </c:lineChart>
      <c:catAx>
        <c:axId val="116166016"/>
        <c:scaling>
          <c:orientation val="minMax"/>
        </c:scaling>
        <c:delete val="0"/>
        <c:axPos val="b"/>
        <c:majorGridlines>
          <c:spPr>
            <a:ln>
              <a:solidFill>
                <a:schemeClr val="bg1">
                  <a:lumMod val="75000"/>
                </a:schemeClr>
              </a:solidFill>
            </a:ln>
          </c:spPr>
        </c:majorGridlines>
        <c:numFmt formatCode="General" sourceLinked="1"/>
        <c:majorTickMark val="none"/>
        <c:minorTickMark val="none"/>
        <c:tickLblPos val="nextTo"/>
        <c:crossAx val="116172288"/>
        <c:crosses val="autoZero"/>
        <c:auto val="1"/>
        <c:lblAlgn val="ctr"/>
        <c:lblOffset val="100"/>
        <c:noMultiLvlLbl val="0"/>
      </c:catAx>
      <c:valAx>
        <c:axId val="116172288"/>
        <c:scaling>
          <c:orientation val="minMax"/>
          <c:max val="200"/>
          <c:min val="-100"/>
        </c:scaling>
        <c:delete val="0"/>
        <c:axPos val="l"/>
        <c:majorGridlines/>
        <c:minorGridlines>
          <c:spPr>
            <a:ln>
              <a:solidFill>
                <a:schemeClr val="bg1">
                  <a:lumMod val="75000"/>
                </a:schemeClr>
              </a:solidFill>
              <a:prstDash val="dash"/>
            </a:ln>
          </c:spPr>
        </c:minorGridlines>
        <c:numFmt formatCode="0%" sourceLinked="0"/>
        <c:majorTickMark val="none"/>
        <c:minorTickMark val="none"/>
        <c:tickLblPos val="nextTo"/>
        <c:crossAx val="116166016"/>
        <c:crosses val="autoZero"/>
        <c:crossBetween val="between"/>
        <c:majorUnit val="50"/>
        <c:minorUnit val="25"/>
        <c:dispUnits>
          <c:builtInUnit val="thousands"/>
        </c:dispUnits>
      </c:valAx>
      <c:spPr>
        <a:solidFill>
          <a:schemeClr val="bg1"/>
        </a:solidFill>
        <a:ln>
          <a:solidFill>
            <a:schemeClr val="tx1">
              <a:lumMod val="50000"/>
              <a:lumOff val="50000"/>
            </a:schemeClr>
          </a:solidFill>
        </a:ln>
      </c:spPr>
    </c:plotArea>
    <c:legend>
      <c:legendPos val="t"/>
      <c:layout>
        <c:manualLayout>
          <c:xMode val="edge"/>
          <c:yMode val="edge"/>
          <c:x val="0.11802933155746444"/>
          <c:y val="2.6235215578071628E-2"/>
          <c:w val="0.85391554554574967"/>
          <c:h val="7.9068188492793748E-2"/>
        </c:manualLayout>
      </c:layout>
      <c:overlay val="0"/>
    </c:legend>
    <c:plotVisOnly val="1"/>
    <c:dispBlanksAs val="gap"/>
    <c:showDLblsOverMax val="0"/>
  </c:chart>
  <c:spPr>
    <a:solidFill>
      <a:schemeClr val="bg1"/>
    </a:solidFill>
    <a:ln>
      <a:noFill/>
    </a:ln>
  </c:spPr>
  <c:txPr>
    <a:bodyPr/>
    <a:lstStyle/>
    <a:p>
      <a:pPr>
        <a:defRPr sz="1000"/>
      </a:pPr>
      <a:endParaRPr lang="cs-CZ"/>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872920738662077"/>
          <c:y val="6.4222862012533757E-2"/>
          <c:w val="0.81298407095127823"/>
          <c:h val="0.79086508789981014"/>
        </c:manualLayout>
      </c:layout>
      <c:barChart>
        <c:barDir val="col"/>
        <c:grouping val="clustered"/>
        <c:varyColors val="0"/>
        <c:ser>
          <c:idx val="0"/>
          <c:order val="0"/>
          <c:invertIfNegative val="0"/>
          <c:cat>
            <c:strRef>
              <c:f>'TAB 7 OBR 11'!$A$14:$A$20</c:f>
              <c:strCache>
                <c:ptCount val="7"/>
                <c:pt idx="0">
                  <c:v>VZP ČR</c:v>
                </c:pt>
                <c:pt idx="1">
                  <c:v>VoZP ČR</c:v>
                </c:pt>
                <c:pt idx="2">
                  <c:v>ČPZP</c:v>
                </c:pt>
                <c:pt idx="3">
                  <c:v>OZP</c:v>
                </c:pt>
                <c:pt idx="4">
                  <c:v>ZPŠ</c:v>
                </c:pt>
                <c:pt idx="5">
                  <c:v>ZP MV ČR</c:v>
                </c:pt>
                <c:pt idx="6">
                  <c:v>RBP</c:v>
                </c:pt>
              </c:strCache>
            </c:strRef>
          </c:cat>
          <c:val>
            <c:numRef>
              <c:f>tab.č.1!$I$30:$I$36</c:f>
              <c:numCache>
                <c:formatCode>#,##0</c:formatCode>
                <c:ptCount val="7"/>
                <c:pt idx="0">
                  <c:v>1741</c:v>
                </c:pt>
                <c:pt idx="1">
                  <c:v>1818</c:v>
                </c:pt>
                <c:pt idx="2">
                  <c:v>1912</c:v>
                </c:pt>
                <c:pt idx="3">
                  <c:v>1771</c:v>
                </c:pt>
                <c:pt idx="4">
                  <c:v>1736</c:v>
                </c:pt>
                <c:pt idx="5">
                  <c:v>1874</c:v>
                </c:pt>
                <c:pt idx="6">
                  <c:v>1792</c:v>
                </c:pt>
              </c:numCache>
            </c:numRef>
          </c:val>
          <c:extLst>
            <c:ext xmlns:c16="http://schemas.microsoft.com/office/drawing/2014/chart" uri="{C3380CC4-5D6E-409C-BE32-E72D297353CC}">
              <c16:uniqueId val="{00000000-6B2F-476E-AC42-E8E7D29AFF60}"/>
            </c:ext>
          </c:extLst>
        </c:ser>
        <c:dLbls>
          <c:showLegendKey val="0"/>
          <c:showVal val="0"/>
          <c:showCatName val="0"/>
          <c:showSerName val="0"/>
          <c:showPercent val="0"/>
          <c:showBubbleSize val="0"/>
        </c:dLbls>
        <c:gapWidth val="150"/>
        <c:axId val="114784512"/>
        <c:axId val="114794496"/>
      </c:barChart>
      <c:catAx>
        <c:axId val="114784512"/>
        <c:scaling>
          <c:orientation val="minMax"/>
        </c:scaling>
        <c:delete val="0"/>
        <c:axPos val="b"/>
        <c:numFmt formatCode="General" sourceLinked="0"/>
        <c:majorTickMark val="none"/>
        <c:minorTickMark val="none"/>
        <c:tickLblPos val="nextTo"/>
        <c:crossAx val="114794496"/>
        <c:crosses val="autoZero"/>
        <c:auto val="1"/>
        <c:lblAlgn val="ctr"/>
        <c:lblOffset val="100"/>
        <c:noMultiLvlLbl val="0"/>
      </c:catAx>
      <c:valAx>
        <c:axId val="114794496"/>
        <c:scaling>
          <c:orientation val="minMax"/>
          <c:max val="2000"/>
          <c:min val="1600"/>
        </c:scaling>
        <c:delete val="0"/>
        <c:axPos val="l"/>
        <c:majorGridlines/>
        <c:minorGridlines>
          <c:spPr>
            <a:ln>
              <a:prstDash val="dash"/>
            </a:ln>
          </c:spPr>
        </c:minorGridlines>
        <c:title>
          <c:tx>
            <c:rich>
              <a:bodyPr rot="-5400000" vert="horz"/>
              <a:lstStyle/>
              <a:p>
                <a:pPr>
                  <a:defRPr/>
                </a:pPr>
                <a:r>
                  <a:rPr lang="cs-CZ"/>
                  <a:t>Počet</a:t>
                </a:r>
                <a:r>
                  <a:rPr lang="cs-CZ" baseline="0"/>
                  <a:t> pojištěnců </a:t>
                </a:r>
              </a:p>
              <a:p>
                <a:pPr>
                  <a:defRPr/>
                </a:pPr>
                <a:r>
                  <a:rPr lang="cs-CZ" b="0" baseline="0"/>
                  <a:t>(na zaměstnance)</a:t>
                </a:r>
                <a:endParaRPr lang="cs-CZ" b="0"/>
              </a:p>
            </c:rich>
          </c:tx>
          <c:overlay val="0"/>
        </c:title>
        <c:numFmt formatCode="#,##0" sourceLinked="1"/>
        <c:majorTickMark val="none"/>
        <c:minorTickMark val="none"/>
        <c:tickLblPos val="nextTo"/>
        <c:crossAx val="114784512"/>
        <c:crosses val="autoZero"/>
        <c:crossBetween val="between"/>
        <c:majorUnit val="200"/>
        <c:minorUnit val="100"/>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91072042609795"/>
          <c:y val="5.2749653726140856E-2"/>
          <c:w val="0.85631860166221607"/>
          <c:h val="0.8443160303708771"/>
        </c:manualLayout>
      </c:layout>
      <c:lineChart>
        <c:grouping val="standard"/>
        <c:varyColors val="0"/>
        <c:ser>
          <c:idx val="0"/>
          <c:order val="0"/>
          <c:tx>
            <c:strRef>
              <c:f>TAB!$B$8</c:f>
              <c:strCache>
                <c:ptCount val="1"/>
                <c:pt idx="0">
                  <c:v>Celkové náklady</c:v>
                </c:pt>
              </c:strCache>
            </c:strRef>
          </c:tx>
          <c:spPr>
            <a:ln>
              <a:solidFill>
                <a:schemeClr val="accent4"/>
              </a:solidFill>
            </a:ln>
          </c:spPr>
          <c:marker>
            <c:symbol val="circle"/>
            <c:size val="7"/>
            <c:spPr>
              <a:solidFill>
                <a:schemeClr val="bg1"/>
              </a:solidFill>
              <a:ln w="28575">
                <a:solidFill>
                  <a:schemeClr val="accent4"/>
                </a:solidFill>
              </a:ln>
            </c:spPr>
          </c:marker>
          <c:cat>
            <c:strRef>
              <c:f>TAB!$T$4:$Y$4</c:f>
              <c:strCache>
                <c:ptCount val="6"/>
                <c:pt idx="0">
                  <c:v>2018</c:v>
                </c:pt>
                <c:pt idx="1">
                  <c:v>2019</c:v>
                </c:pt>
                <c:pt idx="2">
                  <c:v>2020</c:v>
                </c:pt>
                <c:pt idx="3">
                  <c:v>2021</c:v>
                </c:pt>
                <c:pt idx="4">
                  <c:v>2022</c:v>
                </c:pt>
                <c:pt idx="5">
                  <c:v>2023</c:v>
                </c:pt>
              </c:strCache>
            </c:strRef>
          </c:cat>
          <c:val>
            <c:numRef>
              <c:f>TAB!$T$5:$Y$5</c:f>
              <c:numCache>
                <c:formatCode>#,##0</c:formatCode>
                <c:ptCount val="6"/>
                <c:pt idx="0">
                  <c:v>285302434.96438003</c:v>
                </c:pt>
                <c:pt idx="1">
                  <c:v>310968565</c:v>
                </c:pt>
                <c:pt idx="2">
                  <c:v>359022555.76036</c:v>
                </c:pt>
                <c:pt idx="3">
                  <c:v>404542532</c:v>
                </c:pt>
                <c:pt idx="4">
                  <c:v>418126069</c:v>
                </c:pt>
                <c:pt idx="5">
                  <c:v>456454409</c:v>
                </c:pt>
              </c:numCache>
            </c:numRef>
          </c:val>
          <c:smooth val="0"/>
          <c:extLst>
            <c:ext xmlns:c16="http://schemas.microsoft.com/office/drawing/2014/chart" uri="{C3380CC4-5D6E-409C-BE32-E72D297353CC}">
              <c16:uniqueId val="{00000000-2ADE-439B-B6FA-389B9DE65DB2}"/>
            </c:ext>
          </c:extLst>
        </c:ser>
        <c:dLbls>
          <c:showLegendKey val="0"/>
          <c:showVal val="0"/>
          <c:showCatName val="0"/>
          <c:showSerName val="0"/>
          <c:showPercent val="0"/>
          <c:showBubbleSize val="0"/>
        </c:dLbls>
        <c:marker val="1"/>
        <c:smooth val="0"/>
        <c:axId val="34373632"/>
        <c:axId val="34375552"/>
      </c:lineChart>
      <c:catAx>
        <c:axId val="34373632"/>
        <c:scaling>
          <c:orientation val="minMax"/>
        </c:scaling>
        <c:delete val="0"/>
        <c:axPos val="b"/>
        <c:majorGridlines>
          <c:spPr>
            <a:ln>
              <a:solidFill>
                <a:schemeClr val="bg1">
                  <a:lumMod val="75000"/>
                </a:schemeClr>
              </a:solidFill>
            </a:ln>
          </c:spPr>
        </c:majorGridlines>
        <c:numFmt formatCode="General" sourceLinked="1"/>
        <c:majorTickMark val="none"/>
        <c:minorTickMark val="none"/>
        <c:tickLblPos val="nextTo"/>
        <c:txPr>
          <a:bodyPr/>
          <a:lstStyle/>
          <a:p>
            <a:pPr>
              <a:defRPr sz="1050"/>
            </a:pPr>
            <a:endParaRPr lang="cs-CZ"/>
          </a:p>
        </c:txPr>
        <c:crossAx val="34375552"/>
        <c:crosses val="autoZero"/>
        <c:auto val="1"/>
        <c:lblAlgn val="ctr"/>
        <c:lblOffset val="100"/>
        <c:noMultiLvlLbl val="0"/>
      </c:catAx>
      <c:valAx>
        <c:axId val="34375552"/>
        <c:scaling>
          <c:orientation val="minMax"/>
          <c:min val="260000000"/>
        </c:scaling>
        <c:delete val="0"/>
        <c:axPos val="l"/>
        <c:majorGridlines/>
        <c:minorGridlines>
          <c:spPr>
            <a:ln>
              <a:solidFill>
                <a:schemeClr val="bg1">
                  <a:lumMod val="75000"/>
                </a:schemeClr>
              </a:solidFill>
              <a:prstDash val="dash"/>
            </a:ln>
          </c:spPr>
        </c:min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r>
                  <a:rPr lang="en-US" sz="1050" b="1" i="0" baseline="0">
                    <a:effectLst/>
                  </a:rPr>
                  <a:t>N</a:t>
                </a:r>
                <a:r>
                  <a:rPr lang="cs-CZ" sz="1050" b="1" i="0" baseline="0">
                    <a:effectLst/>
                  </a:rPr>
                  <a:t>áklady na zdravotní služby </a:t>
                </a:r>
                <a:endParaRPr lang="cs-CZ" sz="1050">
                  <a:effectLst/>
                </a:endParaRPr>
              </a:p>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r>
                  <a:rPr lang="cs-CZ" sz="1050" b="0"/>
                  <a:t>(v mld. Kč)</a:t>
                </a:r>
              </a:p>
            </c:rich>
          </c:tx>
          <c:layout>
            <c:manualLayout>
              <c:xMode val="edge"/>
              <c:yMode val="edge"/>
              <c:x val="2.0938818793689268E-3"/>
              <c:y val="0.1801607562603762"/>
            </c:manualLayout>
          </c:layout>
          <c:overlay val="0"/>
        </c:title>
        <c:numFmt formatCode="#,##0" sourceLinked="0"/>
        <c:majorTickMark val="none"/>
        <c:minorTickMark val="none"/>
        <c:tickLblPos val="nextTo"/>
        <c:txPr>
          <a:bodyPr/>
          <a:lstStyle/>
          <a:p>
            <a:pPr>
              <a:defRPr sz="1050"/>
            </a:pPr>
            <a:endParaRPr lang="cs-CZ"/>
          </a:p>
        </c:txPr>
        <c:crossAx val="34373632"/>
        <c:crosses val="autoZero"/>
        <c:crossBetween val="between"/>
        <c:majorUnit val="20000000"/>
        <c:minorUnit val="10000000"/>
        <c:dispUnits>
          <c:builtInUnit val="millions"/>
        </c:dispUnits>
      </c:valAx>
      <c:spPr>
        <a:solidFill>
          <a:schemeClr val="bg1"/>
        </a:solidFill>
        <a:ln>
          <a:solidFill>
            <a:schemeClr val="tx1">
              <a:lumMod val="50000"/>
              <a:lumOff val="50000"/>
            </a:schemeClr>
          </a:solidFill>
        </a:ln>
      </c:spPr>
    </c:plotArea>
    <c:plotVisOnly val="1"/>
    <c:dispBlanksAs val="gap"/>
    <c:showDLblsOverMax val="0"/>
  </c:chart>
  <c:spPr>
    <a:solidFill>
      <a:schemeClr val="bg1"/>
    </a:solidFill>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91072042609795"/>
          <c:y val="0.12271022860099851"/>
          <c:w val="0.85631860166221607"/>
          <c:h val="0.77435545549601947"/>
        </c:manualLayout>
      </c:layout>
      <c:lineChart>
        <c:grouping val="standard"/>
        <c:varyColors val="0"/>
        <c:ser>
          <c:idx val="0"/>
          <c:order val="0"/>
          <c:tx>
            <c:strRef>
              <c:f>OBR!$L$2</c:f>
              <c:strCache>
                <c:ptCount val="1"/>
                <c:pt idx="0">
                  <c:v>Náklady na ambulantní péči</c:v>
                </c:pt>
              </c:strCache>
            </c:strRef>
          </c:tx>
          <c:spPr>
            <a:ln>
              <a:solidFill>
                <a:schemeClr val="accent2"/>
              </a:solidFill>
            </a:ln>
          </c:spPr>
          <c:marker>
            <c:symbol val="circle"/>
            <c:size val="7"/>
            <c:spPr>
              <a:solidFill>
                <a:schemeClr val="bg1"/>
              </a:solidFill>
              <a:ln w="28575">
                <a:solidFill>
                  <a:schemeClr val="accent2"/>
                </a:solidFill>
              </a:ln>
            </c:spPr>
          </c:marker>
          <c:cat>
            <c:strRef>
              <c:f>TAB!$T$4:$Z$4</c:f>
              <c:strCache>
                <c:ptCount val="7"/>
                <c:pt idx="0">
                  <c:v>2018</c:v>
                </c:pt>
                <c:pt idx="1">
                  <c:v>2019</c:v>
                </c:pt>
                <c:pt idx="2">
                  <c:v>2020</c:v>
                </c:pt>
                <c:pt idx="3">
                  <c:v>2021</c:v>
                </c:pt>
                <c:pt idx="4">
                  <c:v>2022</c:v>
                </c:pt>
                <c:pt idx="5">
                  <c:v>2023</c:v>
                </c:pt>
                <c:pt idx="6">
                  <c:v>2023</c:v>
                </c:pt>
              </c:strCache>
            </c:strRef>
          </c:cat>
          <c:val>
            <c:numRef>
              <c:f>TAB!$T$6:$Y$6</c:f>
              <c:numCache>
                <c:formatCode>#,##0</c:formatCode>
                <c:ptCount val="6"/>
                <c:pt idx="0">
                  <c:v>75093955.964379996</c:v>
                </c:pt>
                <c:pt idx="1">
                  <c:v>83027940</c:v>
                </c:pt>
                <c:pt idx="2">
                  <c:v>100601691</c:v>
                </c:pt>
                <c:pt idx="3">
                  <c:v>109471671</c:v>
                </c:pt>
                <c:pt idx="4">
                  <c:v>114192642</c:v>
                </c:pt>
                <c:pt idx="5">
                  <c:v>124973851</c:v>
                </c:pt>
              </c:numCache>
            </c:numRef>
          </c:val>
          <c:smooth val="0"/>
          <c:extLst>
            <c:ext xmlns:c16="http://schemas.microsoft.com/office/drawing/2014/chart" uri="{C3380CC4-5D6E-409C-BE32-E72D297353CC}">
              <c16:uniqueId val="{00000000-7DB6-4BD1-B8F6-944B07AEF10A}"/>
            </c:ext>
          </c:extLst>
        </c:ser>
        <c:ser>
          <c:idx val="1"/>
          <c:order val="1"/>
          <c:tx>
            <c:strRef>
              <c:f>OBR!$L$3</c:f>
              <c:strCache>
                <c:ptCount val="1"/>
                <c:pt idx="0">
                  <c:v>Náklady na lůžkovou péči</c:v>
                </c:pt>
              </c:strCache>
            </c:strRef>
          </c:tx>
          <c:spPr>
            <a:ln>
              <a:solidFill>
                <a:schemeClr val="accent1"/>
              </a:solidFill>
            </a:ln>
          </c:spPr>
          <c:marker>
            <c:symbol val="circle"/>
            <c:size val="7"/>
            <c:spPr>
              <a:solidFill>
                <a:schemeClr val="bg1"/>
              </a:solidFill>
              <a:ln w="28575">
                <a:solidFill>
                  <a:schemeClr val="accent1"/>
                </a:solidFill>
              </a:ln>
            </c:spPr>
          </c:marker>
          <c:cat>
            <c:strRef>
              <c:f>TAB!$T$4:$Z$4</c:f>
              <c:strCache>
                <c:ptCount val="7"/>
                <c:pt idx="0">
                  <c:v>2018</c:v>
                </c:pt>
                <c:pt idx="1">
                  <c:v>2019</c:v>
                </c:pt>
                <c:pt idx="2">
                  <c:v>2020</c:v>
                </c:pt>
                <c:pt idx="3">
                  <c:v>2021</c:v>
                </c:pt>
                <c:pt idx="4">
                  <c:v>2022</c:v>
                </c:pt>
                <c:pt idx="5">
                  <c:v>2023</c:v>
                </c:pt>
                <c:pt idx="6">
                  <c:v>2023</c:v>
                </c:pt>
              </c:strCache>
            </c:strRef>
          </c:cat>
          <c:val>
            <c:numRef>
              <c:f>TAB!$T$7:$Y$7</c:f>
              <c:numCache>
                <c:formatCode>#,##0</c:formatCode>
                <c:ptCount val="6"/>
                <c:pt idx="0">
                  <c:v>155361113</c:v>
                </c:pt>
                <c:pt idx="1">
                  <c:v>170225947</c:v>
                </c:pt>
                <c:pt idx="2">
                  <c:v>197758097.47036999</c:v>
                </c:pt>
                <c:pt idx="3">
                  <c:v>229252871</c:v>
                </c:pt>
                <c:pt idx="4">
                  <c:v>237059757</c:v>
                </c:pt>
                <c:pt idx="5">
                  <c:v>258894493</c:v>
                </c:pt>
              </c:numCache>
            </c:numRef>
          </c:val>
          <c:smooth val="0"/>
          <c:extLst>
            <c:ext xmlns:c16="http://schemas.microsoft.com/office/drawing/2014/chart" uri="{C3380CC4-5D6E-409C-BE32-E72D297353CC}">
              <c16:uniqueId val="{00000001-7DB6-4BD1-B8F6-944B07AEF10A}"/>
            </c:ext>
          </c:extLst>
        </c:ser>
        <c:ser>
          <c:idx val="2"/>
          <c:order val="2"/>
          <c:tx>
            <c:strRef>
              <c:f>TAB!$B$7</c:f>
              <c:strCache>
                <c:ptCount val="1"/>
                <c:pt idx="0">
                  <c:v>Ostatní náklady</c:v>
                </c:pt>
              </c:strCache>
            </c:strRef>
          </c:tx>
          <c:spPr>
            <a:ln>
              <a:solidFill>
                <a:srgbClr val="FFC000"/>
              </a:solidFill>
            </a:ln>
          </c:spPr>
          <c:marker>
            <c:symbol val="circle"/>
            <c:size val="7"/>
            <c:spPr>
              <a:solidFill>
                <a:schemeClr val="bg1"/>
              </a:solidFill>
              <a:ln w="28575">
                <a:solidFill>
                  <a:srgbClr val="FFC000"/>
                </a:solidFill>
              </a:ln>
            </c:spPr>
          </c:marker>
          <c:cat>
            <c:strRef>
              <c:f>TAB!$T$4:$Z$4</c:f>
              <c:strCache>
                <c:ptCount val="7"/>
                <c:pt idx="0">
                  <c:v>2018</c:v>
                </c:pt>
                <c:pt idx="1">
                  <c:v>2019</c:v>
                </c:pt>
                <c:pt idx="2">
                  <c:v>2020</c:v>
                </c:pt>
                <c:pt idx="3">
                  <c:v>2021</c:v>
                </c:pt>
                <c:pt idx="4">
                  <c:v>2022</c:v>
                </c:pt>
                <c:pt idx="5">
                  <c:v>2023</c:v>
                </c:pt>
                <c:pt idx="6">
                  <c:v>2023</c:v>
                </c:pt>
              </c:strCache>
            </c:strRef>
          </c:cat>
          <c:val>
            <c:numRef>
              <c:f>TAB!$T$8:$Y$8</c:f>
              <c:numCache>
                <c:formatCode>#,##0</c:formatCode>
                <c:ptCount val="6"/>
                <c:pt idx="0">
                  <c:v>54847366.00000003</c:v>
                </c:pt>
                <c:pt idx="1">
                  <c:v>57714678</c:v>
                </c:pt>
                <c:pt idx="2">
                  <c:v>60662767.289990008</c:v>
                </c:pt>
                <c:pt idx="3">
                  <c:v>65817990</c:v>
                </c:pt>
                <c:pt idx="4">
                  <c:v>66873670</c:v>
                </c:pt>
                <c:pt idx="5">
                  <c:v>72586065</c:v>
                </c:pt>
              </c:numCache>
            </c:numRef>
          </c:val>
          <c:smooth val="0"/>
          <c:extLst>
            <c:ext xmlns:c16="http://schemas.microsoft.com/office/drawing/2014/chart" uri="{C3380CC4-5D6E-409C-BE32-E72D297353CC}">
              <c16:uniqueId val="{00000002-7DB6-4BD1-B8F6-944B07AEF10A}"/>
            </c:ext>
          </c:extLst>
        </c:ser>
        <c:dLbls>
          <c:showLegendKey val="0"/>
          <c:showVal val="0"/>
          <c:showCatName val="0"/>
          <c:showSerName val="0"/>
          <c:showPercent val="0"/>
          <c:showBubbleSize val="0"/>
        </c:dLbls>
        <c:marker val="1"/>
        <c:smooth val="0"/>
        <c:axId val="50752512"/>
        <c:axId val="33026048"/>
      </c:lineChart>
      <c:catAx>
        <c:axId val="50752512"/>
        <c:scaling>
          <c:orientation val="minMax"/>
        </c:scaling>
        <c:delete val="0"/>
        <c:axPos val="b"/>
        <c:majorGridlines>
          <c:spPr>
            <a:ln>
              <a:solidFill>
                <a:schemeClr val="bg1">
                  <a:lumMod val="75000"/>
                </a:schemeClr>
              </a:solidFill>
            </a:ln>
          </c:spPr>
        </c:majorGridlines>
        <c:numFmt formatCode="General" sourceLinked="1"/>
        <c:majorTickMark val="none"/>
        <c:minorTickMark val="none"/>
        <c:tickLblPos val="nextTo"/>
        <c:txPr>
          <a:bodyPr/>
          <a:lstStyle/>
          <a:p>
            <a:pPr>
              <a:defRPr sz="1050"/>
            </a:pPr>
            <a:endParaRPr lang="cs-CZ"/>
          </a:p>
        </c:txPr>
        <c:crossAx val="33026048"/>
        <c:crosses val="autoZero"/>
        <c:auto val="1"/>
        <c:lblAlgn val="ctr"/>
        <c:lblOffset val="100"/>
        <c:noMultiLvlLbl val="0"/>
      </c:catAx>
      <c:valAx>
        <c:axId val="33026048"/>
        <c:scaling>
          <c:orientation val="minMax"/>
          <c:min val="40000000"/>
        </c:scaling>
        <c:delete val="0"/>
        <c:axPos val="l"/>
        <c:majorGridlines/>
        <c:minorGridlines>
          <c:spPr>
            <a:ln>
              <a:solidFill>
                <a:schemeClr val="bg1">
                  <a:lumMod val="75000"/>
                </a:schemeClr>
              </a:solidFill>
              <a:prstDash val="dash"/>
            </a:ln>
          </c:spPr>
        </c:min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r>
                  <a:rPr lang="en-US" sz="1050" b="1" i="0" baseline="0">
                    <a:effectLst/>
                  </a:rPr>
                  <a:t>N</a:t>
                </a:r>
                <a:r>
                  <a:rPr lang="cs-CZ" sz="1050" b="1" i="0" baseline="0">
                    <a:effectLst/>
                  </a:rPr>
                  <a:t>áklady na zdravotní služby </a:t>
                </a:r>
                <a:endParaRPr lang="cs-CZ" sz="1050">
                  <a:effectLst/>
                </a:endParaRPr>
              </a:p>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r>
                  <a:rPr lang="cs-CZ" sz="1050" b="0"/>
                  <a:t>(v mld. Kč)</a:t>
                </a:r>
              </a:p>
            </c:rich>
          </c:tx>
          <c:layout>
            <c:manualLayout>
              <c:xMode val="edge"/>
              <c:yMode val="edge"/>
              <c:x val="2.0939263694067646E-3"/>
              <c:y val="0.22507852489229618"/>
            </c:manualLayout>
          </c:layout>
          <c:overlay val="0"/>
        </c:title>
        <c:numFmt formatCode="#,##0" sourceLinked="0"/>
        <c:majorTickMark val="none"/>
        <c:minorTickMark val="none"/>
        <c:tickLblPos val="nextTo"/>
        <c:txPr>
          <a:bodyPr/>
          <a:lstStyle/>
          <a:p>
            <a:pPr>
              <a:defRPr sz="1050"/>
            </a:pPr>
            <a:endParaRPr lang="cs-CZ"/>
          </a:p>
        </c:txPr>
        <c:crossAx val="50752512"/>
        <c:crosses val="autoZero"/>
        <c:crossBetween val="between"/>
        <c:majorUnit val="20000000"/>
        <c:minorUnit val="10000000"/>
        <c:dispUnits>
          <c:builtInUnit val="millions"/>
        </c:dispUnits>
      </c:valAx>
      <c:spPr>
        <a:solidFill>
          <a:schemeClr val="bg1"/>
        </a:solidFill>
        <a:ln>
          <a:solidFill>
            <a:schemeClr val="tx1">
              <a:lumMod val="50000"/>
              <a:lumOff val="50000"/>
            </a:schemeClr>
          </a:solidFill>
        </a:ln>
      </c:spPr>
    </c:plotArea>
    <c:legend>
      <c:legendPos val="t"/>
      <c:layout>
        <c:manualLayout>
          <c:xMode val="edge"/>
          <c:yMode val="edge"/>
          <c:x val="0.11802933155746444"/>
          <c:y val="2.6235215578071628E-2"/>
          <c:w val="0.85391554554574967"/>
          <c:h val="7.9068188492793748E-2"/>
        </c:manualLayout>
      </c:layout>
      <c:overlay val="0"/>
      <c:txPr>
        <a:bodyPr/>
        <a:lstStyle/>
        <a:p>
          <a:pPr>
            <a:defRPr sz="1000"/>
          </a:pPr>
          <a:endParaRPr lang="cs-CZ"/>
        </a:p>
      </c:txPr>
    </c:legend>
    <c:plotVisOnly val="1"/>
    <c:dispBlanksAs val="gap"/>
    <c:showDLblsOverMax val="0"/>
  </c:chart>
  <c:spPr>
    <a:solidFill>
      <a:schemeClr val="bg1"/>
    </a:solid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91072042609795"/>
          <c:y val="5.2749653726140856E-2"/>
          <c:w val="0.85631860166221607"/>
          <c:h val="0.8443160303708771"/>
        </c:manualLayout>
      </c:layout>
      <c:lineChart>
        <c:grouping val="standard"/>
        <c:varyColors val="0"/>
        <c:ser>
          <c:idx val="0"/>
          <c:order val="0"/>
          <c:tx>
            <c:strRef>
              <c:f>TAB!$B$8</c:f>
              <c:strCache>
                <c:ptCount val="1"/>
                <c:pt idx="0">
                  <c:v>Celkové náklady</c:v>
                </c:pt>
              </c:strCache>
            </c:strRef>
          </c:tx>
          <c:spPr>
            <a:ln>
              <a:solidFill>
                <a:schemeClr val="accent4"/>
              </a:solidFill>
            </a:ln>
          </c:spPr>
          <c:marker>
            <c:symbol val="circle"/>
            <c:size val="7"/>
            <c:spPr>
              <a:solidFill>
                <a:schemeClr val="bg1"/>
              </a:solidFill>
              <a:ln w="28575">
                <a:solidFill>
                  <a:schemeClr val="accent4"/>
                </a:solidFill>
              </a:ln>
            </c:spPr>
          </c:marker>
          <c:cat>
            <c:numRef>
              <c:f>TAB!$AH$21:$AM$21</c:f>
              <c:numCache>
                <c:formatCode>@</c:formatCode>
                <c:ptCount val="6"/>
                <c:pt idx="0">
                  <c:v>2018</c:v>
                </c:pt>
                <c:pt idx="1">
                  <c:v>2019</c:v>
                </c:pt>
                <c:pt idx="2">
                  <c:v>2020</c:v>
                </c:pt>
                <c:pt idx="3">
                  <c:v>2021</c:v>
                </c:pt>
                <c:pt idx="4">
                  <c:v>2022</c:v>
                </c:pt>
                <c:pt idx="5">
                  <c:v>2023</c:v>
                </c:pt>
              </c:numCache>
            </c:numRef>
          </c:cat>
          <c:val>
            <c:numRef>
              <c:f>TAB!$AH$25:$AM$25</c:f>
              <c:numCache>
                <c:formatCode>#,##0</c:formatCode>
                <c:ptCount val="6"/>
                <c:pt idx="0">
                  <c:v>27147.134975428864</c:v>
                </c:pt>
                <c:pt idx="1">
                  <c:v>29499.309589459011</c:v>
                </c:pt>
                <c:pt idx="2">
                  <c:v>34023.856309731455</c:v>
                </c:pt>
                <c:pt idx="3">
                  <c:v>38340.384837284924</c:v>
                </c:pt>
                <c:pt idx="4">
                  <c:v>38526.636668768915</c:v>
                </c:pt>
                <c:pt idx="5">
                  <c:v>42010.505378031339</c:v>
                </c:pt>
              </c:numCache>
            </c:numRef>
          </c:val>
          <c:smooth val="0"/>
          <c:extLst>
            <c:ext xmlns:c16="http://schemas.microsoft.com/office/drawing/2014/chart" uri="{C3380CC4-5D6E-409C-BE32-E72D297353CC}">
              <c16:uniqueId val="{00000000-A7BD-4678-A616-2F60ECA4ADF0}"/>
            </c:ext>
          </c:extLst>
        </c:ser>
        <c:dLbls>
          <c:showLegendKey val="0"/>
          <c:showVal val="0"/>
          <c:showCatName val="0"/>
          <c:showSerName val="0"/>
          <c:showPercent val="0"/>
          <c:showBubbleSize val="0"/>
        </c:dLbls>
        <c:marker val="1"/>
        <c:smooth val="0"/>
        <c:axId val="37409920"/>
        <c:axId val="37411840"/>
      </c:lineChart>
      <c:catAx>
        <c:axId val="37409920"/>
        <c:scaling>
          <c:orientation val="minMax"/>
        </c:scaling>
        <c:delete val="0"/>
        <c:axPos val="b"/>
        <c:majorGridlines>
          <c:spPr>
            <a:ln>
              <a:solidFill>
                <a:schemeClr val="bg1">
                  <a:lumMod val="75000"/>
                </a:schemeClr>
              </a:solidFill>
            </a:ln>
          </c:spPr>
        </c:majorGridlines>
        <c:numFmt formatCode="@" sourceLinked="1"/>
        <c:majorTickMark val="none"/>
        <c:minorTickMark val="none"/>
        <c:tickLblPos val="nextTo"/>
        <c:txPr>
          <a:bodyPr/>
          <a:lstStyle/>
          <a:p>
            <a:pPr>
              <a:defRPr sz="1050"/>
            </a:pPr>
            <a:endParaRPr lang="cs-CZ"/>
          </a:p>
        </c:txPr>
        <c:crossAx val="37411840"/>
        <c:crosses val="autoZero"/>
        <c:auto val="1"/>
        <c:lblAlgn val="ctr"/>
        <c:lblOffset val="100"/>
        <c:noMultiLvlLbl val="0"/>
      </c:catAx>
      <c:valAx>
        <c:axId val="37411840"/>
        <c:scaling>
          <c:orientation val="minMax"/>
          <c:min val="24000"/>
        </c:scaling>
        <c:delete val="0"/>
        <c:axPos val="l"/>
        <c:majorGridlines/>
        <c:minorGridlines>
          <c:spPr>
            <a:ln>
              <a:solidFill>
                <a:schemeClr val="bg1">
                  <a:lumMod val="75000"/>
                </a:schemeClr>
              </a:solidFill>
              <a:prstDash val="dash"/>
            </a:ln>
          </c:spPr>
        </c:min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r>
                  <a:rPr lang="en-US" sz="1050" b="1" i="0" baseline="0">
                    <a:effectLst/>
                  </a:rPr>
                  <a:t>N</a:t>
                </a:r>
                <a:r>
                  <a:rPr lang="cs-CZ" sz="1050" b="1" i="0" baseline="0">
                    <a:effectLst/>
                  </a:rPr>
                  <a:t>áklady na zdravotní služby </a:t>
                </a:r>
                <a:endParaRPr lang="cs-CZ" sz="1050">
                  <a:effectLst/>
                </a:endParaRPr>
              </a:p>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r>
                  <a:rPr lang="cs-CZ" sz="1050" b="0"/>
                  <a:t>(v tis. Kč na pojištěnce)</a:t>
                </a:r>
              </a:p>
            </c:rich>
          </c:tx>
          <c:layout>
            <c:manualLayout>
              <c:xMode val="edge"/>
              <c:yMode val="edge"/>
              <c:x val="2.0938818793689268E-3"/>
              <c:y val="0.18465253771504847"/>
            </c:manualLayout>
          </c:layout>
          <c:overlay val="0"/>
        </c:title>
        <c:numFmt formatCode="#,##0" sourceLinked="0"/>
        <c:majorTickMark val="none"/>
        <c:minorTickMark val="none"/>
        <c:tickLblPos val="nextTo"/>
        <c:txPr>
          <a:bodyPr/>
          <a:lstStyle/>
          <a:p>
            <a:pPr>
              <a:defRPr sz="1050"/>
            </a:pPr>
            <a:endParaRPr lang="cs-CZ"/>
          </a:p>
        </c:txPr>
        <c:crossAx val="37409920"/>
        <c:crosses val="autoZero"/>
        <c:crossBetween val="between"/>
        <c:majorUnit val="2000"/>
        <c:minorUnit val="1000"/>
        <c:dispUnits>
          <c:builtInUnit val="thousands"/>
        </c:dispUnits>
      </c:valAx>
      <c:spPr>
        <a:solidFill>
          <a:schemeClr val="bg1"/>
        </a:solidFill>
        <a:ln>
          <a:solidFill>
            <a:schemeClr val="tx1">
              <a:lumMod val="50000"/>
              <a:lumOff val="50000"/>
            </a:schemeClr>
          </a:solidFill>
        </a:ln>
      </c:spPr>
    </c:plotArea>
    <c:plotVisOnly val="1"/>
    <c:dispBlanksAs val="gap"/>
    <c:showDLblsOverMax val="0"/>
  </c:chart>
  <c:spPr>
    <a:solidFill>
      <a:schemeClr val="bg1"/>
    </a:solidFill>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91072042609795"/>
          <c:y val="0.12271022860099851"/>
          <c:w val="0.85631860166221607"/>
          <c:h val="0.77435545549601947"/>
        </c:manualLayout>
      </c:layout>
      <c:lineChart>
        <c:grouping val="standard"/>
        <c:varyColors val="0"/>
        <c:ser>
          <c:idx val="0"/>
          <c:order val="0"/>
          <c:tx>
            <c:strRef>
              <c:f>OBR!$L$2</c:f>
              <c:strCache>
                <c:ptCount val="1"/>
                <c:pt idx="0">
                  <c:v>Náklady na ambulantní péči</c:v>
                </c:pt>
              </c:strCache>
            </c:strRef>
          </c:tx>
          <c:spPr>
            <a:ln>
              <a:solidFill>
                <a:schemeClr val="accent2"/>
              </a:solidFill>
            </a:ln>
          </c:spPr>
          <c:marker>
            <c:symbol val="circle"/>
            <c:size val="7"/>
            <c:spPr>
              <a:solidFill>
                <a:schemeClr val="bg1"/>
              </a:solidFill>
              <a:ln w="28575">
                <a:solidFill>
                  <a:schemeClr val="accent2"/>
                </a:solidFill>
              </a:ln>
            </c:spPr>
          </c:marker>
          <c:cat>
            <c:numRef>
              <c:f>TAB!$AH$21:$AM$21</c:f>
              <c:numCache>
                <c:formatCode>@</c:formatCode>
                <c:ptCount val="6"/>
                <c:pt idx="0">
                  <c:v>2018</c:v>
                </c:pt>
                <c:pt idx="1">
                  <c:v>2019</c:v>
                </c:pt>
                <c:pt idx="2">
                  <c:v>2020</c:v>
                </c:pt>
                <c:pt idx="3">
                  <c:v>2021</c:v>
                </c:pt>
                <c:pt idx="4">
                  <c:v>2022</c:v>
                </c:pt>
                <c:pt idx="5">
                  <c:v>2023</c:v>
                </c:pt>
              </c:numCache>
            </c:numRef>
          </c:cat>
          <c:val>
            <c:numRef>
              <c:f>TAB!$AH$22:$AM$22</c:f>
              <c:numCache>
                <c:formatCode>#,##0</c:formatCode>
                <c:ptCount val="6"/>
                <c:pt idx="0">
                  <c:v>7145.3500165831128</c:v>
                </c:pt>
                <c:pt idx="1">
                  <c:v>7876.2524007371212</c:v>
                </c:pt>
                <c:pt idx="2">
                  <c:v>9533.8229428256018</c:v>
                </c:pt>
                <c:pt idx="3">
                  <c:v>10375.141457117898</c:v>
                </c:pt>
                <c:pt idx="4">
                  <c:v>10521.84677004868</c:v>
                </c:pt>
                <c:pt idx="5">
                  <c:v>11502.166560404035</c:v>
                </c:pt>
              </c:numCache>
            </c:numRef>
          </c:val>
          <c:smooth val="0"/>
          <c:extLst>
            <c:ext xmlns:c16="http://schemas.microsoft.com/office/drawing/2014/chart" uri="{C3380CC4-5D6E-409C-BE32-E72D297353CC}">
              <c16:uniqueId val="{00000000-EDE7-4975-ADB1-2C02E21D61B9}"/>
            </c:ext>
          </c:extLst>
        </c:ser>
        <c:ser>
          <c:idx val="1"/>
          <c:order val="1"/>
          <c:tx>
            <c:strRef>
              <c:f>OBR!$L$3</c:f>
              <c:strCache>
                <c:ptCount val="1"/>
                <c:pt idx="0">
                  <c:v>Náklady na lůžkovou péči</c:v>
                </c:pt>
              </c:strCache>
            </c:strRef>
          </c:tx>
          <c:spPr>
            <a:ln>
              <a:solidFill>
                <a:schemeClr val="accent1"/>
              </a:solidFill>
            </a:ln>
          </c:spPr>
          <c:marker>
            <c:symbol val="circle"/>
            <c:size val="7"/>
            <c:spPr>
              <a:solidFill>
                <a:schemeClr val="bg1"/>
              </a:solidFill>
              <a:ln w="28575">
                <a:solidFill>
                  <a:schemeClr val="accent1"/>
                </a:solidFill>
              </a:ln>
            </c:spPr>
          </c:marker>
          <c:cat>
            <c:numRef>
              <c:f>TAB!$AH$21:$AM$21</c:f>
              <c:numCache>
                <c:formatCode>@</c:formatCode>
                <c:ptCount val="6"/>
                <c:pt idx="0">
                  <c:v>2018</c:v>
                </c:pt>
                <c:pt idx="1">
                  <c:v>2019</c:v>
                </c:pt>
                <c:pt idx="2">
                  <c:v>2020</c:v>
                </c:pt>
                <c:pt idx="3">
                  <c:v>2021</c:v>
                </c:pt>
                <c:pt idx="4">
                  <c:v>2022</c:v>
                </c:pt>
                <c:pt idx="5">
                  <c:v>2023</c:v>
                </c:pt>
              </c:numCache>
            </c:numRef>
          </c:cat>
          <c:val>
            <c:numRef>
              <c:f>TAB!$AH$23:$AM$23</c:f>
              <c:numCache>
                <c:formatCode>#,##0</c:formatCode>
                <c:ptCount val="6"/>
                <c:pt idx="0">
                  <c:v>14782.941144790526</c:v>
                </c:pt>
                <c:pt idx="1">
                  <c:v>16148.088507633694</c:v>
                </c:pt>
                <c:pt idx="2">
                  <c:v>18741.143096616088</c:v>
                </c:pt>
                <c:pt idx="3">
                  <c:v>21727.365119651837</c:v>
                </c:pt>
                <c:pt idx="4">
                  <c:v>21842.969869275596</c:v>
                </c:pt>
                <c:pt idx="5">
                  <c:v>23827.765218320405</c:v>
                </c:pt>
              </c:numCache>
            </c:numRef>
          </c:val>
          <c:smooth val="0"/>
          <c:extLst>
            <c:ext xmlns:c16="http://schemas.microsoft.com/office/drawing/2014/chart" uri="{C3380CC4-5D6E-409C-BE32-E72D297353CC}">
              <c16:uniqueId val="{00000001-EDE7-4975-ADB1-2C02E21D61B9}"/>
            </c:ext>
          </c:extLst>
        </c:ser>
        <c:ser>
          <c:idx val="2"/>
          <c:order val="2"/>
          <c:tx>
            <c:strRef>
              <c:f>TAB!$B$7</c:f>
              <c:strCache>
                <c:ptCount val="1"/>
                <c:pt idx="0">
                  <c:v>Ostatní náklady</c:v>
                </c:pt>
              </c:strCache>
            </c:strRef>
          </c:tx>
          <c:spPr>
            <a:ln>
              <a:solidFill>
                <a:srgbClr val="FFC000"/>
              </a:solidFill>
            </a:ln>
          </c:spPr>
          <c:marker>
            <c:symbol val="circle"/>
            <c:size val="7"/>
            <c:spPr>
              <a:solidFill>
                <a:schemeClr val="bg1"/>
              </a:solidFill>
              <a:ln w="28575">
                <a:solidFill>
                  <a:srgbClr val="FFC000"/>
                </a:solidFill>
              </a:ln>
            </c:spPr>
          </c:marker>
          <c:cat>
            <c:numRef>
              <c:f>TAB!$AH$21:$AM$21</c:f>
              <c:numCache>
                <c:formatCode>@</c:formatCode>
                <c:ptCount val="6"/>
                <c:pt idx="0">
                  <c:v>2018</c:v>
                </c:pt>
                <c:pt idx="1">
                  <c:v>2019</c:v>
                </c:pt>
                <c:pt idx="2">
                  <c:v>2020</c:v>
                </c:pt>
                <c:pt idx="3">
                  <c:v>2021</c:v>
                </c:pt>
                <c:pt idx="4">
                  <c:v>2022</c:v>
                </c:pt>
                <c:pt idx="5">
                  <c:v>2023</c:v>
                </c:pt>
              </c:numCache>
            </c:numRef>
          </c:cat>
          <c:val>
            <c:numRef>
              <c:f>TAB!$AH$24:$AM$24</c:f>
              <c:numCache>
                <c:formatCode>#,##0</c:formatCode>
                <c:ptCount val="6"/>
                <c:pt idx="0">
                  <c:v>5218.8438140552289</c:v>
                </c:pt>
                <c:pt idx="1">
                  <c:v>5474.9686810881967</c:v>
                </c:pt>
                <c:pt idx="2">
                  <c:v>5748.8902702897622</c:v>
                </c:pt>
                <c:pt idx="3">
                  <c:v>6237.87826051519</c:v>
                </c:pt>
                <c:pt idx="4">
                  <c:v>6161.8200294446406</c:v>
                </c:pt>
                <c:pt idx="5">
                  <c:v>6680.5735993068965</c:v>
                </c:pt>
              </c:numCache>
            </c:numRef>
          </c:val>
          <c:smooth val="0"/>
          <c:extLst>
            <c:ext xmlns:c16="http://schemas.microsoft.com/office/drawing/2014/chart" uri="{C3380CC4-5D6E-409C-BE32-E72D297353CC}">
              <c16:uniqueId val="{00000002-EDE7-4975-ADB1-2C02E21D61B9}"/>
            </c:ext>
          </c:extLst>
        </c:ser>
        <c:dLbls>
          <c:showLegendKey val="0"/>
          <c:showVal val="0"/>
          <c:showCatName val="0"/>
          <c:showSerName val="0"/>
          <c:showPercent val="0"/>
          <c:showBubbleSize val="0"/>
        </c:dLbls>
        <c:marker val="1"/>
        <c:smooth val="0"/>
        <c:axId val="34384896"/>
        <c:axId val="37368960"/>
      </c:lineChart>
      <c:catAx>
        <c:axId val="34384896"/>
        <c:scaling>
          <c:orientation val="minMax"/>
        </c:scaling>
        <c:delete val="0"/>
        <c:axPos val="b"/>
        <c:majorGridlines>
          <c:spPr>
            <a:ln>
              <a:solidFill>
                <a:schemeClr val="bg1">
                  <a:lumMod val="75000"/>
                </a:schemeClr>
              </a:solidFill>
            </a:ln>
          </c:spPr>
        </c:majorGridlines>
        <c:numFmt formatCode="@" sourceLinked="1"/>
        <c:majorTickMark val="none"/>
        <c:minorTickMark val="none"/>
        <c:tickLblPos val="nextTo"/>
        <c:txPr>
          <a:bodyPr/>
          <a:lstStyle/>
          <a:p>
            <a:pPr>
              <a:defRPr sz="1050"/>
            </a:pPr>
            <a:endParaRPr lang="cs-CZ"/>
          </a:p>
        </c:txPr>
        <c:crossAx val="37368960"/>
        <c:crosses val="autoZero"/>
        <c:auto val="1"/>
        <c:lblAlgn val="ctr"/>
        <c:lblOffset val="100"/>
        <c:noMultiLvlLbl val="0"/>
      </c:catAx>
      <c:valAx>
        <c:axId val="37368960"/>
        <c:scaling>
          <c:orientation val="minMax"/>
          <c:min val="4000"/>
        </c:scaling>
        <c:delete val="0"/>
        <c:axPos val="l"/>
        <c:majorGridlines/>
        <c:minorGridlines>
          <c:spPr>
            <a:ln>
              <a:solidFill>
                <a:schemeClr val="bg1">
                  <a:lumMod val="75000"/>
                </a:schemeClr>
              </a:solidFill>
              <a:prstDash val="dash"/>
            </a:ln>
          </c:spPr>
        </c:min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r>
                  <a:rPr lang="en-US" sz="1050" b="1" i="0" baseline="0">
                    <a:effectLst/>
                  </a:rPr>
                  <a:t>N</a:t>
                </a:r>
                <a:r>
                  <a:rPr lang="cs-CZ" sz="1050" b="1" i="0" baseline="0">
                    <a:effectLst/>
                  </a:rPr>
                  <a:t>áklady na zdravotní služby </a:t>
                </a:r>
                <a:endParaRPr lang="cs-CZ" sz="1050">
                  <a:effectLst/>
                </a:endParaRPr>
              </a:p>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mn-lt"/>
                    <a:ea typeface="+mn-ea"/>
                    <a:cs typeface="+mn-cs"/>
                  </a:defRPr>
                </a:pPr>
                <a:r>
                  <a:rPr lang="cs-CZ" sz="1050" b="0"/>
                  <a:t>(v tis. Kč na pojištěnce)</a:t>
                </a:r>
              </a:p>
            </c:rich>
          </c:tx>
          <c:layout>
            <c:manualLayout>
              <c:xMode val="edge"/>
              <c:yMode val="edge"/>
              <c:x val="2.0938818793689268E-3"/>
              <c:y val="0.21608055688400021"/>
            </c:manualLayout>
          </c:layout>
          <c:overlay val="0"/>
        </c:title>
        <c:numFmt formatCode="#,##0" sourceLinked="0"/>
        <c:majorTickMark val="none"/>
        <c:minorTickMark val="none"/>
        <c:tickLblPos val="nextTo"/>
        <c:txPr>
          <a:bodyPr/>
          <a:lstStyle/>
          <a:p>
            <a:pPr>
              <a:defRPr sz="1050"/>
            </a:pPr>
            <a:endParaRPr lang="cs-CZ"/>
          </a:p>
        </c:txPr>
        <c:crossAx val="34384896"/>
        <c:crosses val="autoZero"/>
        <c:crossBetween val="between"/>
        <c:majorUnit val="2000"/>
        <c:minorUnit val="1000"/>
        <c:dispUnits>
          <c:builtInUnit val="thousands"/>
        </c:dispUnits>
      </c:valAx>
      <c:spPr>
        <a:solidFill>
          <a:schemeClr val="bg1"/>
        </a:solidFill>
        <a:ln>
          <a:solidFill>
            <a:schemeClr val="tx1">
              <a:lumMod val="50000"/>
              <a:lumOff val="50000"/>
            </a:schemeClr>
          </a:solidFill>
        </a:ln>
      </c:spPr>
    </c:plotArea>
    <c:legend>
      <c:legendPos val="t"/>
      <c:layout>
        <c:manualLayout>
          <c:xMode val="edge"/>
          <c:yMode val="edge"/>
          <c:x val="0.11802933155746444"/>
          <c:y val="2.6235215578071628E-2"/>
          <c:w val="0.85391554554574967"/>
          <c:h val="7.9068188492793748E-2"/>
        </c:manualLayout>
      </c:layout>
      <c:overlay val="0"/>
      <c:txPr>
        <a:bodyPr/>
        <a:lstStyle/>
        <a:p>
          <a:pPr>
            <a:defRPr sz="1000"/>
          </a:pPr>
          <a:endParaRPr lang="cs-CZ"/>
        </a:p>
      </c:txPr>
    </c:legend>
    <c:plotVisOnly val="1"/>
    <c:dispBlanksAs val="gap"/>
    <c:showDLblsOverMax val="0"/>
  </c:chart>
  <c:spPr>
    <a:solidFill>
      <a:schemeClr val="bg1"/>
    </a:solidFill>
    <a:ln>
      <a:noFill/>
    </a:ln>
  </c:spPr>
  <c:externalData r:id="rId1">
    <c:autoUpdate val="0"/>
  </c:externalData>
</c:chartSpace>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8A8750-1022-4152-A6FB-A7B14EE67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11874</Words>
  <Characters>70060</Characters>
  <Application>Microsoft Office Word</Application>
  <DocSecurity>0</DocSecurity>
  <Lines>583</Lines>
  <Paragraphs>163</Paragraphs>
  <ScaleCrop>false</ScaleCrop>
  <HeadingPairs>
    <vt:vector size="2" baseType="variant">
      <vt:variant>
        <vt:lpstr>Název</vt:lpstr>
      </vt:variant>
      <vt:variant>
        <vt:i4>1</vt:i4>
      </vt:variant>
    </vt:vector>
  </HeadingPairs>
  <TitlesOfParts>
    <vt:vector size="1" baseType="lpstr">
      <vt:lpstr/>
    </vt:vector>
  </TitlesOfParts>
  <Company>Ministerstvo financí</Company>
  <LinksUpToDate>false</LinksUpToDate>
  <CharactersWithSpaces>81771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Gajdošová Eva Ing.</dc:creator>
  <cp:keywords/>
  <dc:description/>
  <cp:lastModifiedBy>Kovandová Markéta Mgr.</cp:lastModifiedBy>
  <cp:revision>2</cp:revision>
  <cp:lastPrinted>2022-06-21T07:22:00Z</cp:lastPrinted>
  <dcterms:created xsi:type="dcterms:W3CDTF">2024-08-13T12:15:00Z</dcterms:created>
  <dcterms:modified xsi:type="dcterms:W3CDTF">2024-08-13T12:15:00Z</dcterms:modified>
</cp:coreProperties>
</file>